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B36F" w14:textId="7536A10B" w:rsidR="00D60B42" w:rsidRDefault="00BC3DC2" w:rsidP="004A08C9">
      <w:pPr>
        <w:pStyle w:val="Heading1"/>
        <w:tabs>
          <w:tab w:val="left" w:pos="5103"/>
        </w:tabs>
        <w:ind w:right="-24"/>
      </w:pPr>
      <w:r w:rsidRPr="001C0EE6">
        <w:t>P</w:t>
      </w:r>
      <w:r w:rsidR="005F35B0" w:rsidRPr="001C0EE6">
        <w:t xml:space="preserve">ublic </w:t>
      </w:r>
      <w:r w:rsidRPr="001C0EE6">
        <w:t>T</w:t>
      </w:r>
      <w:r w:rsidR="005F35B0" w:rsidRPr="001C0EE6">
        <w:t xml:space="preserve">ransport </w:t>
      </w:r>
      <w:r w:rsidRPr="001C0EE6">
        <w:t>O</w:t>
      </w:r>
      <w:r w:rsidR="005F35B0" w:rsidRPr="001C0EE6">
        <w:t>mbudsman</w:t>
      </w:r>
      <w:r w:rsidRPr="001C0EE6">
        <w:t xml:space="preserve"> A</w:t>
      </w:r>
      <w:r w:rsidR="005F35B0" w:rsidRPr="001C0EE6">
        <w:t xml:space="preserve">nnual Report </w:t>
      </w:r>
      <w:r w:rsidRPr="001C0EE6">
        <w:t>201</w:t>
      </w:r>
      <w:r w:rsidR="005F35B0" w:rsidRPr="001C0EE6">
        <w:t>9</w:t>
      </w:r>
    </w:p>
    <w:p w14:paraId="1E09EFF8" w14:textId="1A9C1AA4" w:rsidR="00FB263D" w:rsidRPr="001C0EE6" w:rsidRDefault="00FB263D" w:rsidP="001C0EE6">
      <w:pPr>
        <w:pStyle w:val="Heading2"/>
      </w:pPr>
      <w:r w:rsidRPr="001C0EE6">
        <w:t>PTO Scheme Members</w:t>
      </w:r>
    </w:p>
    <w:p w14:paraId="06C3D885" w14:textId="491E561F" w:rsidR="001C0EE6" w:rsidRDefault="001C0EE6" w:rsidP="001C0EE6">
      <w:pPr>
        <w:rPr>
          <w:lang w:val="en-US"/>
        </w:rPr>
      </w:pPr>
      <w:proofErr w:type="spellStart"/>
      <w:r w:rsidRPr="001C0EE6">
        <w:rPr>
          <w:lang w:val="en-US"/>
        </w:rPr>
        <w:t>BusVic</w:t>
      </w:r>
      <w:proofErr w:type="spellEnd"/>
      <w:r>
        <w:rPr>
          <w:lang w:val="en-US"/>
        </w:rPr>
        <w:t xml:space="preserve">, </w:t>
      </w:r>
      <w:r w:rsidRPr="001C0EE6">
        <w:rPr>
          <w:lang w:val="en-US"/>
        </w:rPr>
        <w:t xml:space="preserve">Level Crossing Removal </w:t>
      </w:r>
      <w:r>
        <w:rPr>
          <w:lang w:val="en-US"/>
        </w:rPr>
        <w:t>Project</w:t>
      </w:r>
      <w:r w:rsidRPr="001C0EE6">
        <w:rPr>
          <w:lang w:val="en-US"/>
        </w:rPr>
        <w:t xml:space="preserve"> (LXR</w:t>
      </w:r>
      <w:r>
        <w:rPr>
          <w:lang w:val="en-US"/>
        </w:rPr>
        <w:t>P</w:t>
      </w:r>
      <w:r w:rsidRPr="001C0EE6">
        <w:rPr>
          <w:lang w:val="en-US"/>
        </w:rPr>
        <w:t>)</w:t>
      </w:r>
      <w:r>
        <w:rPr>
          <w:lang w:val="en-US"/>
        </w:rPr>
        <w:t xml:space="preserve">, </w:t>
      </w:r>
      <w:r w:rsidRPr="001C0EE6">
        <w:rPr>
          <w:lang w:val="en-US"/>
        </w:rPr>
        <w:t>Metro Trains Melbourne (Metro)</w:t>
      </w:r>
      <w:r>
        <w:rPr>
          <w:lang w:val="en-US"/>
        </w:rPr>
        <w:t xml:space="preserve">, </w:t>
      </w:r>
      <w:r w:rsidRPr="001C0EE6">
        <w:rPr>
          <w:lang w:val="en-US"/>
        </w:rPr>
        <w:t>Public Transport Victoria (PTV)</w:t>
      </w:r>
      <w:r>
        <w:rPr>
          <w:lang w:val="en-US"/>
        </w:rPr>
        <w:t xml:space="preserve">, </w:t>
      </w:r>
      <w:r w:rsidRPr="001C0EE6">
        <w:rPr>
          <w:lang w:val="en-US"/>
        </w:rPr>
        <w:t>Rail Projects Victoria</w:t>
      </w:r>
      <w:r>
        <w:rPr>
          <w:lang w:val="en-US"/>
        </w:rPr>
        <w:t xml:space="preserve">, </w:t>
      </w:r>
      <w:proofErr w:type="spellStart"/>
      <w:r w:rsidRPr="001C0EE6">
        <w:rPr>
          <w:lang w:val="en-US"/>
        </w:rPr>
        <w:t>SkyBus</w:t>
      </w:r>
      <w:proofErr w:type="spellEnd"/>
      <w:r>
        <w:rPr>
          <w:lang w:val="en-US"/>
        </w:rPr>
        <w:t xml:space="preserve">, </w:t>
      </w:r>
      <w:r w:rsidRPr="001C0EE6">
        <w:rPr>
          <w:lang w:val="en-US"/>
        </w:rPr>
        <w:t>Southern Cross Station</w:t>
      </w:r>
      <w:r>
        <w:rPr>
          <w:lang w:val="en-US"/>
        </w:rPr>
        <w:t xml:space="preserve">, </w:t>
      </w:r>
      <w:r w:rsidRPr="001C0EE6">
        <w:rPr>
          <w:lang w:val="en-US"/>
        </w:rPr>
        <w:t>Transdev Melbourne (Transdev)</w:t>
      </w:r>
      <w:r>
        <w:rPr>
          <w:lang w:val="en-US"/>
        </w:rPr>
        <w:t xml:space="preserve">, Ventura Bus Lines*, </w:t>
      </w:r>
      <w:proofErr w:type="spellStart"/>
      <w:r w:rsidRPr="001C0EE6">
        <w:rPr>
          <w:lang w:val="en-US"/>
        </w:rPr>
        <w:t>VicTrack</w:t>
      </w:r>
      <w:proofErr w:type="spellEnd"/>
      <w:r>
        <w:rPr>
          <w:lang w:val="en-US"/>
        </w:rPr>
        <w:t xml:space="preserve">, </w:t>
      </w:r>
      <w:r w:rsidRPr="001C0EE6">
        <w:rPr>
          <w:lang w:val="en-US"/>
        </w:rPr>
        <w:t>V/Line</w:t>
      </w:r>
      <w:r>
        <w:rPr>
          <w:lang w:val="en-US"/>
        </w:rPr>
        <w:t xml:space="preserve">, </w:t>
      </w:r>
      <w:proofErr w:type="spellStart"/>
      <w:r w:rsidRPr="001C0EE6">
        <w:rPr>
          <w:lang w:val="en-US"/>
        </w:rPr>
        <w:t>Yarra</w:t>
      </w:r>
      <w:proofErr w:type="spellEnd"/>
      <w:r w:rsidRPr="001C0EE6">
        <w:rPr>
          <w:lang w:val="en-US"/>
        </w:rPr>
        <w:t xml:space="preserve"> Trams</w:t>
      </w:r>
      <w:r>
        <w:rPr>
          <w:lang w:val="en-US"/>
        </w:rPr>
        <w:t>.</w:t>
      </w:r>
    </w:p>
    <w:p w14:paraId="1338BF3A" w14:textId="799C1DF8" w:rsidR="00FB263D" w:rsidRPr="00413491" w:rsidRDefault="001C0EE6" w:rsidP="005F35B0">
      <w:pPr>
        <w:rPr>
          <w:i/>
          <w:iCs/>
        </w:rPr>
      </w:pPr>
      <w:r w:rsidRPr="00413491">
        <w:rPr>
          <w:i/>
          <w:iCs/>
        </w:rPr>
        <w:t>*</w:t>
      </w:r>
      <w:r w:rsidR="005F35B0" w:rsidRPr="00413491">
        <w:rPr>
          <w:i/>
          <w:iCs/>
        </w:rPr>
        <w:t xml:space="preserve">Ventura Bus Lines has joined the PTO Scheme as a member in its own right with effect from </w:t>
      </w:r>
      <w:r w:rsidR="005F35B0" w:rsidRPr="00413491">
        <w:rPr>
          <w:i/>
          <w:iCs/>
        </w:rPr>
        <w:br/>
        <w:t>1 July 2019.</w:t>
      </w:r>
    </w:p>
    <w:p w14:paraId="27B0D101" w14:textId="77777777" w:rsidR="001C0EE6" w:rsidRDefault="001C0EE6" w:rsidP="001C0EE6">
      <w:pPr>
        <w:pStyle w:val="Heading2"/>
      </w:pPr>
      <w:r>
        <w:t xml:space="preserve">Our value </w:t>
      </w:r>
      <w:proofErr w:type="gramStart"/>
      <w:r>
        <w:t>proposition</w:t>
      </w:r>
      <w:proofErr w:type="gramEnd"/>
    </w:p>
    <w:p w14:paraId="22DB8460" w14:textId="77777777" w:rsidR="001C0EE6" w:rsidRDefault="001C0EE6" w:rsidP="001C0EE6">
      <w:r>
        <w:t>The Public Transport Ombudsman is a fair, free and fast service to sort out public transport complaints and help make the system better for everyone.</w:t>
      </w:r>
    </w:p>
    <w:p w14:paraId="5A7211FE" w14:textId="77777777" w:rsidR="001C0EE6" w:rsidRDefault="001C0EE6" w:rsidP="001C0EE6">
      <w:r>
        <w:t>We’re here to listen.</w:t>
      </w:r>
    </w:p>
    <w:p w14:paraId="6529232D" w14:textId="77777777" w:rsidR="001C0EE6" w:rsidRDefault="001C0EE6" w:rsidP="001C0EE6">
      <w:r>
        <w:t>We have the power to act, influence and drive change.</w:t>
      </w:r>
    </w:p>
    <w:p w14:paraId="76375062" w14:textId="77777777" w:rsidR="001C0EE6" w:rsidRDefault="001C0EE6" w:rsidP="001C0EE6">
      <w:r>
        <w:t>We are highly skilled.</w:t>
      </w:r>
    </w:p>
    <w:p w14:paraId="4313B40A" w14:textId="77777777" w:rsidR="001C0EE6" w:rsidRDefault="001C0EE6" w:rsidP="001C0EE6">
      <w:r>
        <w:t>We help people reach agreements.</w:t>
      </w:r>
    </w:p>
    <w:p w14:paraId="65EEC7F6" w14:textId="77777777" w:rsidR="001C0EE6" w:rsidRDefault="001C0EE6" w:rsidP="001C0EE6">
      <w:r>
        <w:t>We’re impartial and achieve fair resolutions.</w:t>
      </w:r>
    </w:p>
    <w:p w14:paraId="147A0A87" w14:textId="77777777" w:rsidR="001C0EE6" w:rsidRDefault="001C0EE6" w:rsidP="001C0EE6">
      <w:r>
        <w:t>We act on opportunities to improve the system.</w:t>
      </w:r>
    </w:p>
    <w:p w14:paraId="5E5B3ACC" w14:textId="77777777" w:rsidR="003D5B3A" w:rsidRPr="00A138D9" w:rsidRDefault="003D5B3A" w:rsidP="001C0EE6">
      <w:pPr>
        <w:pStyle w:val="Heading1"/>
      </w:pPr>
      <w:r w:rsidRPr="00A138D9">
        <w:t>Contents</w:t>
      </w:r>
    </w:p>
    <w:p w14:paraId="179DCEA3" w14:textId="77777777" w:rsidR="00463D0D" w:rsidRPr="00463D0D" w:rsidRDefault="00463D0D" w:rsidP="009835A8">
      <w:pPr>
        <w:pStyle w:val="ListParagraph"/>
        <w:numPr>
          <w:ilvl w:val="0"/>
          <w:numId w:val="9"/>
        </w:numPr>
      </w:pPr>
      <w:r w:rsidRPr="00463D0D">
        <w:t>Year at a glance – Page 2</w:t>
      </w:r>
    </w:p>
    <w:p w14:paraId="1C0CFB30" w14:textId="77777777" w:rsidR="00463D0D" w:rsidRPr="00463D0D" w:rsidRDefault="00463D0D" w:rsidP="009835A8">
      <w:pPr>
        <w:pStyle w:val="ListParagraph"/>
        <w:numPr>
          <w:ilvl w:val="0"/>
          <w:numId w:val="9"/>
        </w:numPr>
      </w:pPr>
      <w:r w:rsidRPr="00463D0D">
        <w:t>Chair’s report</w:t>
      </w:r>
      <w:r w:rsidRPr="00463D0D">
        <w:tab/>
        <w:t xml:space="preserve"> – Page 4</w:t>
      </w:r>
    </w:p>
    <w:p w14:paraId="390D2E37" w14:textId="77777777" w:rsidR="00463D0D" w:rsidRPr="00463D0D" w:rsidRDefault="00463D0D" w:rsidP="009835A8">
      <w:pPr>
        <w:pStyle w:val="ListParagraph"/>
        <w:numPr>
          <w:ilvl w:val="0"/>
          <w:numId w:val="9"/>
        </w:numPr>
      </w:pPr>
      <w:r w:rsidRPr="00463D0D">
        <w:t>Ombudsman’s report – Page 6</w:t>
      </w:r>
    </w:p>
    <w:p w14:paraId="49B2BC49" w14:textId="77777777" w:rsidR="00463D0D" w:rsidRPr="00463D0D" w:rsidRDefault="00463D0D" w:rsidP="009835A8">
      <w:pPr>
        <w:pStyle w:val="ListParagraph"/>
        <w:numPr>
          <w:ilvl w:val="0"/>
          <w:numId w:val="9"/>
        </w:numPr>
      </w:pPr>
      <w:r w:rsidRPr="00463D0D">
        <w:t>PTO Board – Page 7</w:t>
      </w:r>
    </w:p>
    <w:p w14:paraId="68EE2139" w14:textId="77777777" w:rsidR="00463D0D" w:rsidRPr="00463D0D" w:rsidRDefault="00463D0D" w:rsidP="009835A8">
      <w:pPr>
        <w:pStyle w:val="ListParagraph"/>
        <w:numPr>
          <w:ilvl w:val="0"/>
          <w:numId w:val="9"/>
        </w:numPr>
      </w:pPr>
      <w:r w:rsidRPr="00463D0D">
        <w:t>Scheme review – Page 9</w:t>
      </w:r>
    </w:p>
    <w:p w14:paraId="127D6658" w14:textId="77777777" w:rsidR="00463D0D" w:rsidRPr="00463D0D" w:rsidRDefault="00463D0D" w:rsidP="009835A8">
      <w:pPr>
        <w:pStyle w:val="ListParagraph"/>
        <w:numPr>
          <w:ilvl w:val="0"/>
          <w:numId w:val="9"/>
        </w:numPr>
      </w:pPr>
      <w:r w:rsidRPr="00463D0D">
        <w:t>Staff and the customer experience – Page 10</w:t>
      </w:r>
    </w:p>
    <w:p w14:paraId="6FCC0140" w14:textId="77777777" w:rsidR="00463D0D" w:rsidRPr="00463D0D" w:rsidRDefault="00463D0D" w:rsidP="009835A8">
      <w:pPr>
        <w:pStyle w:val="ListParagraph"/>
        <w:numPr>
          <w:ilvl w:val="0"/>
          <w:numId w:val="9"/>
        </w:numPr>
      </w:pPr>
      <w:r w:rsidRPr="00463D0D">
        <w:t>Investigations – Page 12</w:t>
      </w:r>
    </w:p>
    <w:p w14:paraId="0058F8CD" w14:textId="77777777" w:rsidR="00463D0D" w:rsidRPr="00463D0D" w:rsidRDefault="00463D0D" w:rsidP="009835A8">
      <w:pPr>
        <w:pStyle w:val="ListParagraph"/>
        <w:numPr>
          <w:ilvl w:val="0"/>
          <w:numId w:val="9"/>
        </w:numPr>
      </w:pPr>
      <w:r w:rsidRPr="00463D0D">
        <w:t>Systemic issues – Page 14</w:t>
      </w:r>
    </w:p>
    <w:p w14:paraId="704D9062" w14:textId="77777777" w:rsidR="00463D0D" w:rsidRPr="00463D0D" w:rsidRDefault="00463D0D" w:rsidP="009835A8">
      <w:pPr>
        <w:pStyle w:val="ListParagraph"/>
        <w:numPr>
          <w:ilvl w:val="0"/>
          <w:numId w:val="9"/>
        </w:numPr>
      </w:pPr>
      <w:r w:rsidRPr="00463D0D">
        <w:t>In the community – Page 16</w:t>
      </w:r>
    </w:p>
    <w:p w14:paraId="6AA8FD7B" w14:textId="77777777" w:rsidR="00463D0D" w:rsidRPr="00463D0D" w:rsidRDefault="00463D0D" w:rsidP="009835A8">
      <w:pPr>
        <w:pStyle w:val="ListParagraph"/>
        <w:numPr>
          <w:ilvl w:val="0"/>
          <w:numId w:val="9"/>
        </w:numPr>
      </w:pPr>
      <w:r w:rsidRPr="00463D0D">
        <w:t>Approaches with issues by member – Page 18</w:t>
      </w:r>
    </w:p>
    <w:p w14:paraId="701145E7" w14:textId="77777777" w:rsidR="00463D0D" w:rsidRPr="00463D0D" w:rsidRDefault="00463D0D" w:rsidP="009835A8">
      <w:pPr>
        <w:pStyle w:val="ListParagraph"/>
        <w:numPr>
          <w:ilvl w:val="0"/>
          <w:numId w:val="9"/>
        </w:numPr>
      </w:pPr>
      <w:r w:rsidRPr="00463D0D">
        <w:t>Summary financial report – Page 22</w:t>
      </w:r>
    </w:p>
    <w:p w14:paraId="61B3902C" w14:textId="77777777" w:rsidR="00463D0D" w:rsidRPr="00463D0D" w:rsidRDefault="00463D0D" w:rsidP="009835A8">
      <w:pPr>
        <w:pStyle w:val="ListParagraph"/>
        <w:numPr>
          <w:ilvl w:val="0"/>
          <w:numId w:val="9"/>
        </w:numPr>
      </w:pPr>
      <w:r w:rsidRPr="00463D0D">
        <w:t>Contact details – Page 25</w:t>
      </w:r>
    </w:p>
    <w:p w14:paraId="6239DBBF" w14:textId="77777777" w:rsidR="00C660E3" w:rsidRDefault="00C660E3" w:rsidP="005F35B0">
      <w:r>
        <w:br w:type="page"/>
      </w:r>
    </w:p>
    <w:p w14:paraId="52E4D538" w14:textId="56EF37A3" w:rsidR="00DC368A" w:rsidRDefault="00FB263D" w:rsidP="00FE3E8A">
      <w:pPr>
        <w:pStyle w:val="Heading1"/>
      </w:pPr>
      <w:r w:rsidRPr="00F34AA3">
        <w:lastRenderedPageBreak/>
        <w:t xml:space="preserve">Year </w:t>
      </w:r>
      <w:proofErr w:type="gramStart"/>
      <w:r w:rsidRPr="00F34AA3">
        <w:t>At</w:t>
      </w:r>
      <w:proofErr w:type="gramEnd"/>
      <w:r w:rsidRPr="00F34AA3">
        <w:t xml:space="preserve"> A Glance</w:t>
      </w:r>
    </w:p>
    <w:p w14:paraId="153985AC" w14:textId="6C2141C3" w:rsidR="001C0EE6" w:rsidRPr="00F34AA3" w:rsidRDefault="001C0EE6" w:rsidP="00DC368A">
      <w:pPr>
        <w:pStyle w:val="Heading2"/>
      </w:pPr>
      <w:r w:rsidRPr="00F34AA3">
        <w:t>YEAR AT A GLANCE INFOGRAPHIC SHOWS:</w:t>
      </w:r>
    </w:p>
    <w:p w14:paraId="5AC9DB5E" w14:textId="18BF06C3" w:rsidR="001C0EE6" w:rsidRDefault="001C0EE6" w:rsidP="009835A8">
      <w:pPr>
        <w:pStyle w:val="ListParagraph"/>
        <w:numPr>
          <w:ilvl w:val="0"/>
          <w:numId w:val="1"/>
        </w:numPr>
        <w:spacing w:after="120" w:afterAutospacing="0"/>
        <w:ind w:left="714" w:hanging="357"/>
      </w:pPr>
      <w:r w:rsidRPr="00A138D9">
        <w:t>3</w:t>
      </w:r>
      <w:r>
        <w:t>607</w:t>
      </w:r>
      <w:r w:rsidRPr="00A138D9">
        <w:t xml:space="preserve"> </w:t>
      </w:r>
      <w:r w:rsidR="00316DFD">
        <w:t xml:space="preserve">total </w:t>
      </w:r>
      <w:r w:rsidRPr="00A138D9">
        <w:t>approaches to the PTO in</w:t>
      </w:r>
      <w:r>
        <w:t xml:space="preserve"> the</w:t>
      </w:r>
      <w:r w:rsidRPr="00A138D9">
        <w:t xml:space="preserve"> 201</w:t>
      </w:r>
      <w:r>
        <w:t>8</w:t>
      </w:r>
      <w:r w:rsidRPr="00A138D9">
        <w:t>/1</w:t>
      </w:r>
      <w:r>
        <w:t>9</w:t>
      </w:r>
      <w:r w:rsidRPr="00A138D9">
        <w:t xml:space="preserve"> financial year. +</w:t>
      </w:r>
      <w:r>
        <w:t>551</w:t>
      </w:r>
      <w:r w:rsidRPr="00A138D9">
        <w:t xml:space="preserve"> Compared to</w:t>
      </w:r>
      <w:r>
        <w:t xml:space="preserve"> the</w:t>
      </w:r>
      <w:r w:rsidRPr="00A138D9">
        <w:t xml:space="preserve"> 201</w:t>
      </w:r>
      <w:r>
        <w:t>7</w:t>
      </w:r>
      <w:r w:rsidRPr="00A138D9">
        <w:t>/1</w:t>
      </w:r>
      <w:r>
        <w:t>8</w:t>
      </w:r>
      <w:r w:rsidRPr="00A138D9">
        <w:t xml:space="preserve"> financial year.</w:t>
      </w:r>
    </w:p>
    <w:p w14:paraId="3B197544" w14:textId="267E3F2F" w:rsidR="00316DFD" w:rsidRDefault="00316DFD" w:rsidP="009835A8">
      <w:pPr>
        <w:pStyle w:val="ListParagraph"/>
        <w:numPr>
          <w:ilvl w:val="0"/>
          <w:numId w:val="1"/>
        </w:numPr>
        <w:spacing w:after="120" w:afterAutospacing="0"/>
        <w:ind w:left="714" w:hanging="357"/>
      </w:pPr>
      <w:r w:rsidRPr="00A138D9">
        <w:t>5</w:t>
      </w:r>
      <w:r>
        <w:t>79</w:t>
      </w:r>
      <w:r w:rsidRPr="00A138D9">
        <w:t xml:space="preserve"> </w:t>
      </w:r>
      <w:r>
        <w:t>i</w:t>
      </w:r>
      <w:r w:rsidRPr="00A138D9">
        <w:t xml:space="preserve">nvestigations </w:t>
      </w:r>
      <w:r>
        <w:t>opened</w:t>
      </w:r>
      <w:r w:rsidRPr="00A138D9">
        <w:t xml:space="preserve"> by the PTO in </w:t>
      </w:r>
      <w:r>
        <w:t>the</w:t>
      </w:r>
      <w:r w:rsidRPr="00A138D9">
        <w:t xml:space="preserve"> 201</w:t>
      </w:r>
      <w:r>
        <w:t>8</w:t>
      </w:r>
      <w:r w:rsidRPr="00A138D9">
        <w:t>/1</w:t>
      </w:r>
      <w:r>
        <w:t>9</w:t>
      </w:r>
      <w:r w:rsidR="0003031B">
        <w:t xml:space="preserve"> </w:t>
      </w:r>
      <w:r w:rsidRPr="00A138D9">
        <w:t xml:space="preserve">financial year. </w:t>
      </w:r>
      <w:r>
        <w:t>-16</w:t>
      </w:r>
      <w:r w:rsidRPr="00A138D9">
        <w:t xml:space="preserve"> Compared to</w:t>
      </w:r>
      <w:r>
        <w:t xml:space="preserve"> the</w:t>
      </w:r>
      <w:r w:rsidRPr="00A138D9">
        <w:t xml:space="preserve"> 201</w:t>
      </w:r>
      <w:r>
        <w:t>7</w:t>
      </w:r>
      <w:r w:rsidRPr="00A138D9">
        <w:t>/1</w:t>
      </w:r>
      <w:r>
        <w:t>8</w:t>
      </w:r>
      <w:r w:rsidRPr="00A138D9">
        <w:t xml:space="preserve"> financial year.</w:t>
      </w:r>
    </w:p>
    <w:p w14:paraId="2B6A3DBE" w14:textId="03BDBA98" w:rsidR="00316DFD" w:rsidRPr="00A138D9" w:rsidRDefault="00316DFD" w:rsidP="009835A8">
      <w:pPr>
        <w:pStyle w:val="ListParagraph"/>
        <w:numPr>
          <w:ilvl w:val="0"/>
          <w:numId w:val="1"/>
        </w:numPr>
        <w:spacing w:after="120" w:afterAutospacing="0"/>
        <w:ind w:left="714" w:hanging="357"/>
      </w:pPr>
      <w:r>
        <w:t>2201</w:t>
      </w:r>
      <w:r w:rsidRPr="00A138D9">
        <w:t xml:space="preserve"> </w:t>
      </w:r>
      <w:r>
        <w:t>c</w:t>
      </w:r>
      <w:r w:rsidRPr="00A138D9">
        <w:t xml:space="preserve">omplaints </w:t>
      </w:r>
      <w:r w:rsidR="004A08C9">
        <w:t>r</w:t>
      </w:r>
      <w:r w:rsidRPr="00A138D9">
        <w:t xml:space="preserve">eceived by the PTO in </w:t>
      </w:r>
      <w:r>
        <w:t>the</w:t>
      </w:r>
      <w:r w:rsidRPr="00A138D9">
        <w:t xml:space="preserve"> 201</w:t>
      </w:r>
      <w:r>
        <w:t>8</w:t>
      </w:r>
      <w:r w:rsidRPr="00A138D9">
        <w:t>/1</w:t>
      </w:r>
      <w:r>
        <w:t>9</w:t>
      </w:r>
      <w:r w:rsidR="0003031B">
        <w:t xml:space="preserve"> </w:t>
      </w:r>
      <w:r w:rsidRPr="00A138D9">
        <w:t>financial year. +</w:t>
      </w:r>
      <w:r>
        <w:t>503</w:t>
      </w:r>
      <w:r w:rsidRPr="00A138D9">
        <w:t xml:space="preserve"> Compared to</w:t>
      </w:r>
      <w:r>
        <w:t xml:space="preserve"> the</w:t>
      </w:r>
      <w:r w:rsidRPr="00A138D9">
        <w:t xml:space="preserve"> 201</w:t>
      </w:r>
      <w:r>
        <w:t>7</w:t>
      </w:r>
      <w:r w:rsidRPr="00A138D9">
        <w:t>/1</w:t>
      </w:r>
      <w:r>
        <w:t>8</w:t>
      </w:r>
      <w:r w:rsidRPr="00A138D9">
        <w:t xml:space="preserve"> financial year.</w:t>
      </w:r>
    </w:p>
    <w:p w14:paraId="40A675BB" w14:textId="4F10254A" w:rsidR="00316DFD" w:rsidRPr="00A138D9" w:rsidRDefault="00316DFD" w:rsidP="009835A8">
      <w:pPr>
        <w:pStyle w:val="ListParagraph"/>
        <w:numPr>
          <w:ilvl w:val="0"/>
          <w:numId w:val="1"/>
        </w:numPr>
        <w:spacing w:after="120" w:afterAutospacing="0"/>
        <w:ind w:left="714" w:hanging="357"/>
      </w:pPr>
      <w:r>
        <w:t>347</w:t>
      </w:r>
      <w:r w:rsidRPr="00A138D9">
        <w:t xml:space="preserve"> </w:t>
      </w:r>
      <w:r>
        <w:t>enquiries about members received</w:t>
      </w:r>
      <w:r w:rsidRPr="00A138D9">
        <w:t xml:space="preserve"> by the PTO in </w:t>
      </w:r>
      <w:r>
        <w:t>the</w:t>
      </w:r>
      <w:r w:rsidRPr="00A138D9">
        <w:t xml:space="preserve"> 201</w:t>
      </w:r>
      <w:r>
        <w:t>8</w:t>
      </w:r>
      <w:r w:rsidRPr="00A138D9">
        <w:t>/1</w:t>
      </w:r>
      <w:r>
        <w:t>9</w:t>
      </w:r>
      <w:r w:rsidR="0003031B">
        <w:t xml:space="preserve"> </w:t>
      </w:r>
      <w:r w:rsidRPr="00A138D9">
        <w:t xml:space="preserve">financial year. </w:t>
      </w:r>
      <w:r>
        <w:t>+32</w:t>
      </w:r>
      <w:r w:rsidRPr="00A138D9">
        <w:t xml:space="preserve"> Compared to</w:t>
      </w:r>
      <w:r>
        <w:t xml:space="preserve"> the</w:t>
      </w:r>
      <w:r w:rsidRPr="00A138D9">
        <w:t xml:space="preserve"> 201</w:t>
      </w:r>
      <w:r>
        <w:t>7</w:t>
      </w:r>
      <w:r w:rsidRPr="00A138D9">
        <w:t>/1</w:t>
      </w:r>
      <w:r>
        <w:t>8</w:t>
      </w:r>
      <w:r w:rsidRPr="00A138D9">
        <w:t xml:space="preserve"> financial year.</w:t>
      </w:r>
    </w:p>
    <w:p w14:paraId="3B16D97D" w14:textId="0239684F" w:rsidR="001C0EE6" w:rsidRPr="00A138D9" w:rsidRDefault="00316DFD" w:rsidP="009835A8">
      <w:pPr>
        <w:pStyle w:val="ListParagraph"/>
        <w:numPr>
          <w:ilvl w:val="0"/>
          <w:numId w:val="1"/>
        </w:numPr>
        <w:spacing w:after="120" w:afterAutospacing="0"/>
        <w:ind w:left="714" w:hanging="357"/>
      </w:pPr>
      <w:r w:rsidRPr="00A138D9">
        <w:t>4</w:t>
      </w:r>
      <w:r>
        <w:t>80</w:t>
      </w:r>
      <w:r w:rsidRPr="00A138D9">
        <w:t xml:space="preserve"> Approaches </w:t>
      </w:r>
      <w:r w:rsidR="004A08C9">
        <w:t>r</w:t>
      </w:r>
      <w:r w:rsidRPr="00A138D9">
        <w:t xml:space="preserve">elated to non-members received by the PTO in </w:t>
      </w:r>
      <w:r>
        <w:t>the</w:t>
      </w:r>
      <w:r w:rsidRPr="00A138D9">
        <w:t xml:space="preserve"> 201</w:t>
      </w:r>
      <w:r>
        <w:t>8</w:t>
      </w:r>
      <w:r w:rsidRPr="00A138D9">
        <w:t>/1</w:t>
      </w:r>
      <w:r>
        <w:t>9</w:t>
      </w:r>
      <w:r w:rsidR="0003031B">
        <w:t xml:space="preserve"> </w:t>
      </w:r>
      <w:r w:rsidRPr="00A138D9">
        <w:t xml:space="preserve">financial year. </w:t>
      </w:r>
      <w:r>
        <w:t>+32</w:t>
      </w:r>
      <w:r w:rsidRPr="00A138D9">
        <w:t xml:space="preserve"> Compared to</w:t>
      </w:r>
      <w:r>
        <w:t xml:space="preserve"> the</w:t>
      </w:r>
      <w:r w:rsidRPr="00A138D9">
        <w:t xml:space="preserve"> 201</w:t>
      </w:r>
      <w:r>
        <w:t>7</w:t>
      </w:r>
      <w:r w:rsidRPr="00A138D9">
        <w:t>/1</w:t>
      </w:r>
      <w:r>
        <w:t>8</w:t>
      </w:r>
      <w:r w:rsidRPr="00A138D9">
        <w:t xml:space="preserve"> financial year.</w:t>
      </w:r>
    </w:p>
    <w:p w14:paraId="2CB5B83F" w14:textId="1B813BFC" w:rsidR="001C0EE6" w:rsidRPr="00A138D9" w:rsidRDefault="00316DFD" w:rsidP="009835A8">
      <w:pPr>
        <w:pStyle w:val="ListParagraph"/>
        <w:numPr>
          <w:ilvl w:val="0"/>
          <w:numId w:val="1"/>
        </w:numPr>
        <w:spacing w:after="120" w:afterAutospacing="0"/>
        <w:ind w:left="714" w:hanging="357"/>
      </w:pPr>
      <w:r>
        <w:t>6964</w:t>
      </w:r>
      <w:r w:rsidR="001C0EE6" w:rsidRPr="00A138D9">
        <w:t xml:space="preserve"> </w:t>
      </w:r>
      <w:r>
        <w:t xml:space="preserve">issues within approaches received </w:t>
      </w:r>
      <w:r w:rsidR="001C0EE6" w:rsidRPr="00A138D9">
        <w:t xml:space="preserve">by the PTO in </w:t>
      </w:r>
      <w:r w:rsidR="001C0EE6">
        <w:t>the</w:t>
      </w:r>
      <w:r w:rsidR="001C0EE6" w:rsidRPr="00A138D9">
        <w:t xml:space="preserve"> 201</w:t>
      </w:r>
      <w:r w:rsidR="001C0EE6">
        <w:t>8</w:t>
      </w:r>
      <w:r w:rsidR="001C0EE6" w:rsidRPr="00A138D9">
        <w:t>/1</w:t>
      </w:r>
      <w:r w:rsidR="001C0EE6">
        <w:t>9</w:t>
      </w:r>
      <w:r w:rsidR="0003031B">
        <w:t xml:space="preserve"> </w:t>
      </w:r>
      <w:r w:rsidR="001C0EE6" w:rsidRPr="00A138D9">
        <w:t xml:space="preserve">financial year. </w:t>
      </w:r>
      <w:r>
        <w:t>+2427</w:t>
      </w:r>
      <w:r w:rsidR="001C0EE6" w:rsidRPr="00A138D9">
        <w:t xml:space="preserve"> Compared to</w:t>
      </w:r>
      <w:r w:rsidR="001C0EE6">
        <w:t xml:space="preserve"> the</w:t>
      </w:r>
      <w:r w:rsidR="001C0EE6" w:rsidRPr="00A138D9">
        <w:t xml:space="preserve"> 201</w:t>
      </w:r>
      <w:r w:rsidR="001C0EE6">
        <w:t>7</w:t>
      </w:r>
      <w:r w:rsidR="001C0EE6" w:rsidRPr="00A138D9">
        <w:t>/1</w:t>
      </w:r>
      <w:r w:rsidR="001C0EE6">
        <w:t>8</w:t>
      </w:r>
      <w:r w:rsidR="001C0EE6" w:rsidRPr="00A138D9">
        <w:t xml:space="preserve"> financial year.</w:t>
      </w:r>
    </w:p>
    <w:p w14:paraId="4035E373" w14:textId="77777777" w:rsidR="004541A2" w:rsidRDefault="004541A2" w:rsidP="005F35B0"/>
    <w:p w14:paraId="3EECCFCA" w14:textId="70C10C9A" w:rsidR="004541A2" w:rsidRPr="00F34AA3" w:rsidRDefault="0003031B" w:rsidP="001C0EE6">
      <w:pPr>
        <w:pStyle w:val="Heading2"/>
      </w:pPr>
      <w:r>
        <w:t>TABLE</w:t>
      </w:r>
      <w:r w:rsidR="004541A2" w:rsidRPr="00F34AA3">
        <w:t xml:space="preserve"> SHOWS TOP </w:t>
      </w:r>
      <w:r>
        <w:t>7</w:t>
      </w:r>
      <w:r w:rsidR="004541A2" w:rsidRPr="00F34AA3">
        <w:t xml:space="preserve"> ISSUES COMPARISON BETWEEN 201</w:t>
      </w:r>
      <w:r w:rsidR="004A08C9">
        <w:t>8</w:t>
      </w:r>
      <w:r w:rsidR="004541A2" w:rsidRPr="00F34AA3">
        <w:t>/1</w:t>
      </w:r>
      <w:r w:rsidR="004A08C9">
        <w:t>9</w:t>
      </w:r>
      <w:r w:rsidR="004541A2" w:rsidRPr="00F34AA3">
        <w:t xml:space="preserve"> AND </w:t>
      </w:r>
      <w:r w:rsidR="004A08C9" w:rsidRPr="00F34AA3">
        <w:t>2017/18</w:t>
      </w:r>
      <w:r w:rsidR="004541A2" w:rsidRPr="00F34AA3">
        <w:t>.</w:t>
      </w:r>
    </w:p>
    <w:p w14:paraId="0F2F19F8" w14:textId="42C6C213" w:rsidR="004541A2" w:rsidRDefault="004541A2" w:rsidP="001C0EE6">
      <w:pPr>
        <w:pStyle w:val="Heading3"/>
      </w:pPr>
      <w:r w:rsidRPr="00F34AA3">
        <w:t xml:space="preserve">Issue 1: </w:t>
      </w:r>
      <w:r w:rsidR="00DC368A" w:rsidRPr="00F34AA3">
        <w:t>Staff</w:t>
      </w:r>
      <w:r w:rsidR="00D840A8">
        <w:t>*</w:t>
      </w:r>
    </w:p>
    <w:p w14:paraId="224813E1" w14:textId="59F51B56" w:rsidR="00DC368A" w:rsidRPr="00DC368A" w:rsidRDefault="00DC368A" w:rsidP="00DC368A">
      <w:pPr>
        <w:rPr>
          <w:lang w:val="en-GB"/>
        </w:rPr>
      </w:pPr>
      <w:r w:rsidRPr="00DC368A">
        <w:rPr>
          <w:lang w:val="en-GB"/>
        </w:rPr>
        <w:t>About employees and agents involved in public transport, includes poor conduct, customer service failings and lack of responsiveness</w:t>
      </w:r>
    </w:p>
    <w:p w14:paraId="39A0722E" w14:textId="604B7786" w:rsidR="004541A2" w:rsidRPr="00A138D9" w:rsidRDefault="00D840A8" w:rsidP="009835A8">
      <w:pPr>
        <w:pStyle w:val="ListParagraph"/>
        <w:numPr>
          <w:ilvl w:val="0"/>
          <w:numId w:val="2"/>
        </w:numPr>
      </w:pPr>
      <w:r>
        <w:t>2035</w:t>
      </w:r>
      <w:r w:rsidR="004541A2" w:rsidRPr="00A138D9">
        <w:t xml:space="preserve"> issues compared to</w:t>
      </w:r>
      <w:r>
        <w:t xml:space="preserve"> 886 in the</w:t>
      </w:r>
      <w:r w:rsidR="004541A2" w:rsidRPr="00A138D9">
        <w:t xml:space="preserve"> 201</w:t>
      </w:r>
      <w:r>
        <w:t>7</w:t>
      </w:r>
      <w:r w:rsidR="004541A2" w:rsidRPr="00A138D9">
        <w:t>/1</w:t>
      </w:r>
      <w:r>
        <w:t>8</w:t>
      </w:r>
      <w:r w:rsidR="004541A2" w:rsidRPr="00A138D9">
        <w:t xml:space="preserve"> financial year.</w:t>
      </w:r>
    </w:p>
    <w:p w14:paraId="5B4921A8" w14:textId="766705A1" w:rsidR="004541A2" w:rsidRDefault="004541A2" w:rsidP="001C0EE6">
      <w:pPr>
        <w:pStyle w:val="Heading3"/>
      </w:pPr>
      <w:r w:rsidRPr="00F34AA3">
        <w:t xml:space="preserve">Issue 2: </w:t>
      </w:r>
      <w:r w:rsidR="00DC368A" w:rsidRPr="00D60B42">
        <w:t>Service</w:t>
      </w:r>
      <w:r w:rsidR="00DC368A" w:rsidRPr="00F34AA3">
        <w:t xml:space="preserve"> Delivery</w:t>
      </w:r>
    </w:p>
    <w:p w14:paraId="010F70D9" w14:textId="77777777" w:rsidR="00DC368A" w:rsidRPr="00DC368A" w:rsidRDefault="00DC368A" w:rsidP="00DC368A">
      <w:pPr>
        <w:rPr>
          <w:lang w:val="en-GB"/>
        </w:rPr>
      </w:pPr>
      <w:r w:rsidRPr="00DC368A">
        <w:rPr>
          <w:lang w:val="en-GB"/>
        </w:rPr>
        <w:t>About inability to meet customer expectations, includes disruptions, cancellations, crowded, late and replacement services</w:t>
      </w:r>
    </w:p>
    <w:p w14:paraId="7888D6D1" w14:textId="3E3E7925" w:rsidR="00D840A8" w:rsidRPr="00A138D9" w:rsidRDefault="00D840A8" w:rsidP="009835A8">
      <w:pPr>
        <w:pStyle w:val="ListParagraph"/>
        <w:numPr>
          <w:ilvl w:val="0"/>
          <w:numId w:val="2"/>
        </w:numPr>
      </w:pPr>
      <w:r>
        <w:t>1666</w:t>
      </w:r>
      <w:r w:rsidRPr="00A138D9">
        <w:t xml:space="preserve"> issues compared to</w:t>
      </w:r>
      <w:r>
        <w:t xml:space="preserve"> 1085 in the</w:t>
      </w:r>
      <w:r w:rsidRPr="00A138D9">
        <w:t xml:space="preserve"> 201</w:t>
      </w:r>
      <w:r>
        <w:t>7</w:t>
      </w:r>
      <w:r w:rsidRPr="00A138D9">
        <w:t>/1</w:t>
      </w:r>
      <w:r>
        <w:t>8</w:t>
      </w:r>
      <w:r w:rsidRPr="00A138D9">
        <w:t xml:space="preserve"> financial year.</w:t>
      </w:r>
    </w:p>
    <w:p w14:paraId="1F135BB4" w14:textId="5E1021A7" w:rsidR="004541A2" w:rsidRDefault="004541A2" w:rsidP="001C0EE6">
      <w:pPr>
        <w:pStyle w:val="Heading3"/>
      </w:pPr>
      <w:r w:rsidRPr="00F34AA3">
        <w:t xml:space="preserve">Issue 3: </w:t>
      </w:r>
      <w:r w:rsidR="00DC368A">
        <w:t>Ticketing</w:t>
      </w:r>
      <w:r w:rsidR="00D840A8">
        <w:t>*</w:t>
      </w:r>
    </w:p>
    <w:p w14:paraId="0B7FD3F6" w14:textId="77777777" w:rsidR="00DC368A" w:rsidRPr="00DC368A" w:rsidRDefault="00DC368A" w:rsidP="00DC368A">
      <w:pPr>
        <w:rPr>
          <w:lang w:val="en-GB"/>
        </w:rPr>
      </w:pPr>
      <w:r w:rsidRPr="00DC368A">
        <w:rPr>
          <w:lang w:val="en-GB"/>
        </w:rPr>
        <w:t xml:space="preserve">About ticketing systems used by public transport users in Victoria – includes myki, regional paper tickets and </w:t>
      </w:r>
      <w:proofErr w:type="spellStart"/>
      <w:r w:rsidRPr="00DC368A">
        <w:rPr>
          <w:lang w:val="en-GB"/>
        </w:rPr>
        <w:t>SkyBus</w:t>
      </w:r>
      <w:proofErr w:type="spellEnd"/>
    </w:p>
    <w:p w14:paraId="34A60244" w14:textId="4800656B" w:rsidR="00D840A8" w:rsidRPr="00A138D9" w:rsidRDefault="00D840A8" w:rsidP="009835A8">
      <w:pPr>
        <w:pStyle w:val="ListParagraph"/>
        <w:numPr>
          <w:ilvl w:val="0"/>
          <w:numId w:val="2"/>
        </w:numPr>
      </w:pPr>
      <w:r>
        <w:t>1386</w:t>
      </w:r>
      <w:r w:rsidRPr="00A138D9">
        <w:t xml:space="preserve"> issues compared to</w:t>
      </w:r>
      <w:r>
        <w:t xml:space="preserve"> 1104 in the</w:t>
      </w:r>
      <w:r w:rsidRPr="00A138D9">
        <w:t xml:space="preserve"> 201</w:t>
      </w:r>
      <w:r>
        <w:t>7</w:t>
      </w:r>
      <w:r w:rsidRPr="00A138D9">
        <w:t>/1</w:t>
      </w:r>
      <w:r>
        <w:t>8</w:t>
      </w:r>
      <w:r w:rsidRPr="00A138D9">
        <w:t xml:space="preserve"> financial year.</w:t>
      </w:r>
    </w:p>
    <w:p w14:paraId="38B67FCE" w14:textId="2BE7D9D6" w:rsidR="004541A2" w:rsidRDefault="004541A2" w:rsidP="001C0EE6">
      <w:pPr>
        <w:pStyle w:val="Heading3"/>
      </w:pPr>
      <w:r w:rsidRPr="00F34AA3">
        <w:t xml:space="preserve">Issue 4: </w:t>
      </w:r>
      <w:r w:rsidR="00DC368A">
        <w:t xml:space="preserve">Land and </w:t>
      </w:r>
      <w:r w:rsidRPr="00F34AA3">
        <w:t>Infrastructure</w:t>
      </w:r>
      <w:r w:rsidR="00D840A8">
        <w:t>*</w:t>
      </w:r>
      <w:r w:rsidRPr="00F34AA3">
        <w:t xml:space="preserve"> </w:t>
      </w:r>
    </w:p>
    <w:p w14:paraId="3629A339" w14:textId="347146EF" w:rsidR="00DC368A" w:rsidRPr="00DC368A" w:rsidRDefault="00DC368A" w:rsidP="00DC368A">
      <w:pPr>
        <w:rPr>
          <w:lang w:val="en-GB"/>
        </w:rPr>
      </w:pPr>
      <w:r w:rsidRPr="00DC368A">
        <w:rPr>
          <w:lang w:val="en-GB"/>
        </w:rPr>
        <w:t>About the use of land by public transport operators, stations and stops and construction of new tracks, stations and stops</w:t>
      </w:r>
    </w:p>
    <w:p w14:paraId="5FB1CBBC" w14:textId="5F66538B" w:rsidR="00D840A8" w:rsidRPr="00A138D9" w:rsidRDefault="00D840A8" w:rsidP="009835A8">
      <w:pPr>
        <w:pStyle w:val="ListParagraph"/>
        <w:numPr>
          <w:ilvl w:val="0"/>
          <w:numId w:val="2"/>
        </w:numPr>
      </w:pPr>
      <w:r>
        <w:t>659</w:t>
      </w:r>
      <w:r w:rsidRPr="00A138D9">
        <w:t xml:space="preserve"> issues compared to</w:t>
      </w:r>
      <w:r>
        <w:t xml:space="preserve"> 787 in the</w:t>
      </w:r>
      <w:r w:rsidRPr="00A138D9">
        <w:t xml:space="preserve"> 201</w:t>
      </w:r>
      <w:r>
        <w:t>7</w:t>
      </w:r>
      <w:r w:rsidRPr="00A138D9">
        <w:t>/1</w:t>
      </w:r>
      <w:r>
        <w:t>8</w:t>
      </w:r>
      <w:r w:rsidRPr="00A138D9">
        <w:t xml:space="preserve"> financial year.</w:t>
      </w:r>
    </w:p>
    <w:p w14:paraId="49F34DC0" w14:textId="789CBC3B" w:rsidR="00DC368A" w:rsidRDefault="00DC368A" w:rsidP="00DC368A">
      <w:pPr>
        <w:pStyle w:val="Heading3"/>
      </w:pPr>
      <w:r w:rsidRPr="00F34AA3">
        <w:lastRenderedPageBreak/>
        <w:t xml:space="preserve">Issue 5: </w:t>
      </w:r>
      <w:r>
        <w:t>Trams, trains and buses</w:t>
      </w:r>
      <w:r w:rsidR="00D840A8">
        <w:t>*</w:t>
      </w:r>
    </w:p>
    <w:p w14:paraId="6DA71ABC" w14:textId="77777777" w:rsidR="00DC368A" w:rsidRPr="00DC368A" w:rsidRDefault="00DC368A" w:rsidP="00DC368A">
      <w:pPr>
        <w:rPr>
          <w:lang w:val="en-GB"/>
        </w:rPr>
      </w:pPr>
      <w:r w:rsidRPr="00DC368A">
        <w:rPr>
          <w:lang w:val="en-GB"/>
        </w:rPr>
        <w:t>About the condition and performance of vehicles that passengers travel in during their journey</w:t>
      </w:r>
    </w:p>
    <w:p w14:paraId="6010BF64" w14:textId="7F4E8EAF" w:rsidR="00DC368A" w:rsidRPr="00DC368A" w:rsidRDefault="00D840A8" w:rsidP="009835A8">
      <w:pPr>
        <w:pStyle w:val="ListParagraph"/>
        <w:numPr>
          <w:ilvl w:val="0"/>
          <w:numId w:val="2"/>
        </w:numPr>
      </w:pPr>
      <w:r>
        <w:t>359</w:t>
      </w:r>
      <w:r w:rsidRPr="00A138D9">
        <w:t xml:space="preserve"> issues compared to</w:t>
      </w:r>
      <w:r>
        <w:t xml:space="preserve"> 787 in the</w:t>
      </w:r>
      <w:r w:rsidRPr="00A138D9">
        <w:t xml:space="preserve"> 201</w:t>
      </w:r>
      <w:r>
        <w:t>7</w:t>
      </w:r>
      <w:r w:rsidRPr="00A138D9">
        <w:t>/1</w:t>
      </w:r>
      <w:r>
        <w:t>8</w:t>
      </w:r>
      <w:r w:rsidRPr="00A138D9">
        <w:t xml:space="preserve"> financial year.</w:t>
      </w:r>
    </w:p>
    <w:p w14:paraId="15FAA854" w14:textId="77777777" w:rsidR="00DC368A" w:rsidRPr="00F34AA3" w:rsidRDefault="00DC368A" w:rsidP="00DC368A">
      <w:pPr>
        <w:pStyle w:val="Heading3"/>
      </w:pPr>
      <w:r w:rsidRPr="00F34AA3">
        <w:t>Issue 5: Infringement Notices</w:t>
      </w:r>
    </w:p>
    <w:p w14:paraId="26D7D158" w14:textId="77777777" w:rsidR="00DC368A" w:rsidRPr="00DC368A" w:rsidRDefault="00DC368A" w:rsidP="00DC368A">
      <w:pPr>
        <w:rPr>
          <w:lang w:val="en-GB"/>
        </w:rPr>
      </w:pPr>
      <w:r w:rsidRPr="00DC368A">
        <w:rPr>
          <w:lang w:val="en-GB"/>
        </w:rPr>
        <w:t>About issues connected to being reported for non-compliance with the ticketing conditions or the issue of a fine</w:t>
      </w:r>
    </w:p>
    <w:p w14:paraId="6D7F5BD8" w14:textId="403AA81F" w:rsidR="00DC368A" w:rsidRDefault="00D840A8" w:rsidP="009835A8">
      <w:pPr>
        <w:pStyle w:val="ListParagraph"/>
        <w:numPr>
          <w:ilvl w:val="0"/>
          <w:numId w:val="2"/>
        </w:numPr>
      </w:pPr>
      <w:r>
        <w:t>328</w:t>
      </w:r>
      <w:r w:rsidRPr="00A138D9">
        <w:t xml:space="preserve"> issues compared to</w:t>
      </w:r>
      <w:r>
        <w:t xml:space="preserve"> 377 in the</w:t>
      </w:r>
      <w:r w:rsidRPr="00A138D9">
        <w:t xml:space="preserve"> 201</w:t>
      </w:r>
      <w:r>
        <w:t>7</w:t>
      </w:r>
      <w:r w:rsidRPr="00A138D9">
        <w:t>/1</w:t>
      </w:r>
      <w:r>
        <w:t>8</w:t>
      </w:r>
      <w:r w:rsidRPr="00A138D9">
        <w:t xml:space="preserve"> financial year.</w:t>
      </w:r>
    </w:p>
    <w:p w14:paraId="10A847F8" w14:textId="2FEE2D4E" w:rsidR="00DC368A" w:rsidRDefault="004541A2" w:rsidP="00DC368A">
      <w:pPr>
        <w:pStyle w:val="Heading3"/>
      </w:pPr>
      <w:r w:rsidRPr="00F34AA3">
        <w:t xml:space="preserve">Issue 5: </w:t>
      </w:r>
      <w:r w:rsidR="00DC368A">
        <w:t>Accessibility</w:t>
      </w:r>
      <w:r w:rsidR="00D840A8">
        <w:t>*</w:t>
      </w:r>
    </w:p>
    <w:p w14:paraId="08F45FA9" w14:textId="78BAFDFC" w:rsidR="00DC368A" w:rsidRPr="00DC368A" w:rsidRDefault="00DC368A" w:rsidP="00DC368A">
      <w:pPr>
        <w:rPr>
          <w:lang w:val="en-GB"/>
        </w:rPr>
      </w:pPr>
      <w:r w:rsidRPr="00DC368A">
        <w:rPr>
          <w:lang w:val="en-GB"/>
        </w:rPr>
        <w:t>About accommodating diversity and providing equal access to public transport and infrastructure for all people</w:t>
      </w:r>
    </w:p>
    <w:p w14:paraId="278EF085" w14:textId="44A46804" w:rsidR="00D840A8" w:rsidRPr="00A138D9" w:rsidRDefault="00D840A8" w:rsidP="009835A8">
      <w:pPr>
        <w:pStyle w:val="ListParagraph"/>
        <w:numPr>
          <w:ilvl w:val="0"/>
          <w:numId w:val="2"/>
        </w:numPr>
      </w:pPr>
      <w:r>
        <w:t>194</w:t>
      </w:r>
      <w:r w:rsidRPr="00A138D9">
        <w:t xml:space="preserve"> issues</w:t>
      </w:r>
      <w:r>
        <w:t>. Was not applicable in the</w:t>
      </w:r>
      <w:r w:rsidRPr="00A138D9">
        <w:t xml:space="preserve"> 201</w:t>
      </w:r>
      <w:r>
        <w:t>7</w:t>
      </w:r>
      <w:r w:rsidRPr="00A138D9">
        <w:t>/1</w:t>
      </w:r>
      <w:r>
        <w:t>8</w:t>
      </w:r>
      <w:r w:rsidRPr="00A138D9">
        <w:t xml:space="preserve"> financial year.</w:t>
      </w:r>
    </w:p>
    <w:p w14:paraId="5E45FF40" w14:textId="5AC68DD9" w:rsidR="00224F9A" w:rsidRDefault="00224F9A" w:rsidP="00224F9A">
      <w:r w:rsidRPr="00DC368A">
        <w:t>* From 1 July 2018 we made changes to</w:t>
      </w:r>
      <w:r w:rsidRPr="00224F9A">
        <w:rPr>
          <w:rFonts w:ascii="Titillium Bd" w:hAnsi="Titillium Bd" w:cs="Titillium Bd"/>
          <w:b/>
          <w:bCs/>
          <w:i/>
          <w:iCs/>
          <w:color w:val="2ED9C3"/>
          <w:sz w:val="16"/>
          <w:szCs w:val="16"/>
        </w:rPr>
        <w:t xml:space="preserve"> </w:t>
      </w:r>
      <w:r w:rsidRPr="00DC368A">
        <w:t xml:space="preserve">the way we categorise some issues. Infrastructure and Rolling Stock was replaced by two categories: Land and Infrastructure and Trams, Trains and Buses. A distinct Accessibility category was created. Myki is now part of Ticketing and we also changed the way we categorise staff complaints - see </w:t>
      </w:r>
      <w:r w:rsidRPr="006C74A6">
        <w:t xml:space="preserve">page </w:t>
      </w:r>
      <w:r w:rsidR="006C74A6">
        <w:t>9</w:t>
      </w:r>
      <w:r w:rsidRPr="00DC368A">
        <w:t xml:space="preserve"> for details. </w:t>
      </w:r>
    </w:p>
    <w:p w14:paraId="18C6C672" w14:textId="77777777" w:rsidR="00125D20" w:rsidRPr="00A138D9" w:rsidRDefault="00125D20" w:rsidP="005F35B0"/>
    <w:p w14:paraId="18993FDA" w14:textId="77777777" w:rsidR="00841448" w:rsidRDefault="00841448" w:rsidP="005F35B0">
      <w:r>
        <w:br w:type="page"/>
      </w:r>
    </w:p>
    <w:p w14:paraId="4A170EEF" w14:textId="3A30B439" w:rsidR="006A2F0B" w:rsidRPr="00F34AA3" w:rsidRDefault="006A2F0B" w:rsidP="001C0EE6">
      <w:pPr>
        <w:pStyle w:val="Heading1"/>
      </w:pPr>
      <w:r w:rsidRPr="00F34AA3">
        <w:lastRenderedPageBreak/>
        <w:t>CHAIR’S REPORT</w:t>
      </w:r>
      <w:r w:rsidR="6598C0A4" w:rsidRPr="00F34AA3">
        <w:t xml:space="preserve"> </w:t>
      </w:r>
    </w:p>
    <w:p w14:paraId="1B895544" w14:textId="77777777" w:rsidR="00660BB7" w:rsidRPr="00660BB7" w:rsidRDefault="00660BB7" w:rsidP="00660BB7">
      <w:r w:rsidRPr="00660BB7">
        <w:t xml:space="preserve">It is with great pleasure that I present my 4th Annual Report as Chair of the PTO. </w:t>
      </w:r>
    </w:p>
    <w:p w14:paraId="7E98CDDE" w14:textId="77777777" w:rsidR="00660BB7" w:rsidRPr="00660BB7" w:rsidRDefault="00660BB7" w:rsidP="00660BB7">
      <w:r w:rsidRPr="00660BB7">
        <w:t xml:space="preserve">This year marks the 15th year of operation of the PTO. During that time, we have handled more than 38,000 approaches from the public and handled in excess of 4100 investigations into concerns raised about all manner of public transport and related complaints. </w:t>
      </w:r>
    </w:p>
    <w:p w14:paraId="471EB862" w14:textId="77777777" w:rsidR="00660BB7" w:rsidRPr="00660BB7" w:rsidRDefault="00660BB7" w:rsidP="00660BB7">
      <w:r w:rsidRPr="00660BB7">
        <w:t xml:space="preserve">The PTO is required under its Charter to commission an independent review of its performance every five years. This year the review was headed by Dr. Gavin </w:t>
      </w:r>
      <w:proofErr w:type="spellStart"/>
      <w:r w:rsidRPr="00660BB7">
        <w:t>McBurnie</w:t>
      </w:r>
      <w:proofErr w:type="spellEnd"/>
      <w:r w:rsidRPr="00660BB7">
        <w:t xml:space="preserve"> from Queen Margaret University – Consumer Dispute Resolution Centre. The Centre provides expert academic research of consumer dispute resolution centres and the Board of the PTO were impressed with the quality of their report and findings. </w:t>
      </w:r>
    </w:p>
    <w:p w14:paraId="00944F76" w14:textId="77777777" w:rsidR="00660BB7" w:rsidRPr="00660BB7" w:rsidRDefault="00660BB7" w:rsidP="00660BB7">
      <w:r w:rsidRPr="00660BB7">
        <w:t xml:space="preserve">The Board were proud to receive a positive report which formed the view that the PTO is meeting the standards required to be considered a valued and effective dispute resolution Scheme. After fifteen years of operation, the Board believed it was time to consider a broader review of the Scheme, so we requested an independent opinion about our governance and jurisdiction, taking a ‘best in breed’ approach. </w:t>
      </w:r>
    </w:p>
    <w:p w14:paraId="54B91CC3" w14:textId="77777777" w:rsidR="00660BB7" w:rsidRPr="00660BB7" w:rsidRDefault="00660BB7" w:rsidP="00660BB7">
      <w:r w:rsidRPr="00660BB7">
        <w:t xml:space="preserve">Some of the review recommendations related to the governance structures and strengthening the independence of the Scheme, in addition to some broader ideas about the reach of the Scheme to possibly include complaints not currently in jurisdiction. Many ideas were informed by other reviews and surveys conducted by the PTO relating to awareness and the value of the PTO as perceived by consumers. </w:t>
      </w:r>
    </w:p>
    <w:p w14:paraId="5C9135D6" w14:textId="77777777" w:rsidR="00660BB7" w:rsidRPr="00660BB7" w:rsidRDefault="00660BB7" w:rsidP="00660BB7">
      <w:r w:rsidRPr="00660BB7">
        <w:t>Overall, the review provided the Board and Government with some interesting ideas to consider, and while some of the decision-making rests with Government, the PTO Board welcomes the opportunity to discuss the review findings with the Department of Transport in the near future.</w:t>
      </w:r>
    </w:p>
    <w:p w14:paraId="49CB459B" w14:textId="77777777" w:rsidR="00660BB7" w:rsidRPr="00660BB7" w:rsidRDefault="00660BB7" w:rsidP="00660BB7">
      <w:r w:rsidRPr="00660BB7">
        <w:t xml:space="preserve">More information about the Scheme Review and the recommendations can be found on page 10 of this report. </w:t>
      </w:r>
    </w:p>
    <w:p w14:paraId="163A369C" w14:textId="77777777" w:rsidR="00660BB7" w:rsidRPr="00660BB7" w:rsidRDefault="00660BB7" w:rsidP="00660BB7">
      <w:r w:rsidRPr="00660BB7">
        <w:t xml:space="preserve">It has been another year of growth in approaches to the Scheme and once again, Treasure and her team have delivered highly skilled complaint handling services and provided our members with many useful insights on how they can improve the system for everyone. </w:t>
      </w:r>
    </w:p>
    <w:p w14:paraId="27436444" w14:textId="7AE2F1B2" w:rsidR="003B604F" w:rsidRPr="00660BB7" w:rsidRDefault="00660BB7" w:rsidP="00660BB7">
      <w:r w:rsidRPr="00660BB7">
        <w:t>I wish to extend my thanks to all the Industry and Consumer Directors on the PTO Board and Company Secretary for their professionalism and dedication, and to our members’ staff who continue to take a cooperative and proactive approach to working with the PTO team.</w:t>
      </w:r>
    </w:p>
    <w:p w14:paraId="6B016B95" w14:textId="1CFE4CB3" w:rsidR="009149F0" w:rsidRPr="00A138D9" w:rsidRDefault="003B604F" w:rsidP="005F35B0">
      <w:pPr>
        <w:rPr>
          <w:rFonts w:eastAsia="Roboto" w:cs="Roboto"/>
        </w:rPr>
      </w:pPr>
      <w:r w:rsidRPr="00A138D9">
        <w:t>Kay Rundle</w:t>
      </w:r>
      <w:r w:rsidRPr="00A138D9">
        <w:br/>
        <w:t>Chair</w:t>
      </w:r>
      <w:r w:rsidRPr="00A138D9">
        <w:br/>
        <w:t>Public Transport Ombudsman</w:t>
      </w:r>
    </w:p>
    <w:p w14:paraId="5DF7F029" w14:textId="0F04F08C" w:rsidR="00413491" w:rsidRDefault="00413491" w:rsidP="00413491">
      <w:pPr>
        <w:pStyle w:val="Heading2"/>
      </w:pPr>
      <w:r>
        <w:t xml:space="preserve">Line graph shows the PTOs cumulative cases over fiscal years 2004 – 2019 </w:t>
      </w:r>
    </w:p>
    <w:p w14:paraId="57FBB76A" w14:textId="77777777" w:rsidR="00463D0D" w:rsidRPr="0013644F" w:rsidRDefault="00463D0D" w:rsidP="0013644F">
      <w:pPr>
        <w:pStyle w:val="ListParagraph"/>
        <w:numPr>
          <w:ilvl w:val="0"/>
          <w:numId w:val="36"/>
        </w:numPr>
      </w:pPr>
      <w:r w:rsidRPr="0013644F">
        <w:t>FY 2004-2005: 849 cases</w:t>
      </w:r>
    </w:p>
    <w:p w14:paraId="6EB83B9D" w14:textId="77777777" w:rsidR="00463D0D" w:rsidRPr="0013644F" w:rsidRDefault="00463D0D" w:rsidP="0013644F">
      <w:pPr>
        <w:pStyle w:val="ListParagraph"/>
        <w:numPr>
          <w:ilvl w:val="0"/>
          <w:numId w:val="36"/>
        </w:numPr>
      </w:pPr>
      <w:r w:rsidRPr="0013644F">
        <w:t>FY 2005-2006: 2104 cases</w:t>
      </w:r>
    </w:p>
    <w:p w14:paraId="2CD3FBA2" w14:textId="77777777" w:rsidR="00463D0D" w:rsidRPr="0013644F" w:rsidRDefault="00463D0D" w:rsidP="0013644F">
      <w:pPr>
        <w:pStyle w:val="ListParagraph"/>
        <w:numPr>
          <w:ilvl w:val="0"/>
          <w:numId w:val="36"/>
        </w:numPr>
      </w:pPr>
      <w:r w:rsidRPr="0013644F">
        <w:t>FY 2006-2007: 3093 cases</w:t>
      </w:r>
    </w:p>
    <w:p w14:paraId="5B694A98" w14:textId="77777777" w:rsidR="00463D0D" w:rsidRPr="0013644F" w:rsidRDefault="00463D0D" w:rsidP="0013644F">
      <w:pPr>
        <w:pStyle w:val="ListParagraph"/>
        <w:numPr>
          <w:ilvl w:val="0"/>
          <w:numId w:val="36"/>
        </w:numPr>
      </w:pPr>
      <w:r w:rsidRPr="0013644F">
        <w:t>FY 2007-2008: 4230 cases</w:t>
      </w:r>
    </w:p>
    <w:p w14:paraId="715F93C4" w14:textId="77777777" w:rsidR="00463D0D" w:rsidRPr="0013644F" w:rsidRDefault="00463D0D" w:rsidP="0013644F">
      <w:pPr>
        <w:pStyle w:val="ListParagraph"/>
        <w:numPr>
          <w:ilvl w:val="0"/>
          <w:numId w:val="36"/>
        </w:numPr>
      </w:pPr>
      <w:r w:rsidRPr="0013644F">
        <w:t>FY 2008-2009: 5432 cases</w:t>
      </w:r>
    </w:p>
    <w:p w14:paraId="7AB4AB47" w14:textId="77777777" w:rsidR="00463D0D" w:rsidRPr="0013644F" w:rsidRDefault="00463D0D" w:rsidP="0013644F">
      <w:pPr>
        <w:pStyle w:val="ListParagraph"/>
        <w:numPr>
          <w:ilvl w:val="0"/>
          <w:numId w:val="36"/>
        </w:numPr>
      </w:pPr>
      <w:r w:rsidRPr="0013644F">
        <w:t>FY 2009-2010: 7267 cases</w:t>
      </w:r>
    </w:p>
    <w:p w14:paraId="001BC459" w14:textId="77777777" w:rsidR="00463D0D" w:rsidRPr="0013644F" w:rsidRDefault="00463D0D" w:rsidP="0013644F">
      <w:pPr>
        <w:pStyle w:val="ListParagraph"/>
        <w:numPr>
          <w:ilvl w:val="0"/>
          <w:numId w:val="36"/>
        </w:numPr>
      </w:pPr>
      <w:r w:rsidRPr="0013644F">
        <w:t>FY 2010-2011: 9105 cases</w:t>
      </w:r>
      <w:bookmarkStart w:id="0" w:name="_GoBack"/>
      <w:bookmarkEnd w:id="0"/>
    </w:p>
    <w:p w14:paraId="4448400E" w14:textId="77777777" w:rsidR="00463D0D" w:rsidRPr="0013644F" w:rsidRDefault="00463D0D" w:rsidP="0013644F">
      <w:pPr>
        <w:pStyle w:val="ListParagraph"/>
        <w:numPr>
          <w:ilvl w:val="0"/>
          <w:numId w:val="36"/>
        </w:numPr>
      </w:pPr>
      <w:r w:rsidRPr="0013644F">
        <w:lastRenderedPageBreak/>
        <w:t>FY 2011-2012: 12660 cases</w:t>
      </w:r>
    </w:p>
    <w:p w14:paraId="22CE3BFF" w14:textId="77777777" w:rsidR="00463D0D" w:rsidRPr="0013644F" w:rsidRDefault="00463D0D" w:rsidP="0013644F">
      <w:pPr>
        <w:pStyle w:val="ListParagraph"/>
        <w:numPr>
          <w:ilvl w:val="0"/>
          <w:numId w:val="36"/>
        </w:numPr>
      </w:pPr>
      <w:r w:rsidRPr="0013644F">
        <w:t>FY 2012-2013: 17037 cases</w:t>
      </w:r>
    </w:p>
    <w:p w14:paraId="5CE05E81" w14:textId="77777777" w:rsidR="00463D0D" w:rsidRPr="0013644F" w:rsidRDefault="00463D0D" w:rsidP="0013644F">
      <w:pPr>
        <w:pStyle w:val="ListParagraph"/>
        <w:numPr>
          <w:ilvl w:val="0"/>
          <w:numId w:val="36"/>
        </w:numPr>
      </w:pPr>
      <w:r w:rsidRPr="0013644F">
        <w:t>FY 2013-2014: 21179 cases</w:t>
      </w:r>
    </w:p>
    <w:p w14:paraId="269675E6" w14:textId="77777777" w:rsidR="00463D0D" w:rsidRPr="0013644F" w:rsidRDefault="00463D0D" w:rsidP="0013644F">
      <w:pPr>
        <w:pStyle w:val="ListParagraph"/>
        <w:numPr>
          <w:ilvl w:val="0"/>
          <w:numId w:val="36"/>
        </w:numPr>
      </w:pPr>
      <w:r w:rsidRPr="0013644F">
        <w:t>FY 2014-2015: 25258 cases</w:t>
      </w:r>
    </w:p>
    <w:p w14:paraId="7535B5C5" w14:textId="77777777" w:rsidR="00463D0D" w:rsidRPr="0013644F" w:rsidRDefault="00463D0D" w:rsidP="0013644F">
      <w:pPr>
        <w:pStyle w:val="ListParagraph"/>
        <w:numPr>
          <w:ilvl w:val="0"/>
          <w:numId w:val="36"/>
        </w:numPr>
      </w:pPr>
      <w:r w:rsidRPr="0013644F">
        <w:t>FY 2015-2016: 28670 cases</w:t>
      </w:r>
    </w:p>
    <w:p w14:paraId="288B2FC4" w14:textId="77777777" w:rsidR="00463D0D" w:rsidRPr="0013644F" w:rsidRDefault="00463D0D" w:rsidP="0013644F">
      <w:pPr>
        <w:pStyle w:val="ListParagraph"/>
        <w:numPr>
          <w:ilvl w:val="0"/>
          <w:numId w:val="36"/>
        </w:numPr>
      </w:pPr>
      <w:r w:rsidRPr="0013644F">
        <w:t>FY 2016-2017: 31686 cases</w:t>
      </w:r>
    </w:p>
    <w:p w14:paraId="7EB44CF0" w14:textId="77777777" w:rsidR="00463D0D" w:rsidRPr="0013644F" w:rsidRDefault="00463D0D" w:rsidP="0013644F">
      <w:pPr>
        <w:pStyle w:val="ListParagraph"/>
        <w:numPr>
          <w:ilvl w:val="0"/>
          <w:numId w:val="36"/>
        </w:numPr>
      </w:pPr>
      <w:r w:rsidRPr="0013644F">
        <w:t>FY 2017-2018: 34742 cases</w:t>
      </w:r>
    </w:p>
    <w:p w14:paraId="65F8921D" w14:textId="77777777" w:rsidR="00463D0D" w:rsidRPr="0013644F" w:rsidRDefault="00463D0D" w:rsidP="0013644F">
      <w:pPr>
        <w:pStyle w:val="ListParagraph"/>
        <w:numPr>
          <w:ilvl w:val="0"/>
          <w:numId w:val="36"/>
        </w:numPr>
      </w:pPr>
      <w:r w:rsidRPr="0013644F">
        <w:t>FY 2018-2019: 38349 cases</w:t>
      </w:r>
    </w:p>
    <w:p w14:paraId="4B8CF483" w14:textId="77777777" w:rsidR="00463D0D" w:rsidRPr="00463D0D" w:rsidRDefault="00463D0D" w:rsidP="00463D0D"/>
    <w:p w14:paraId="160932EA" w14:textId="7D1306C7" w:rsidR="003B604F" w:rsidRPr="00A138D9" w:rsidRDefault="003B604F" w:rsidP="00413491">
      <w:pPr>
        <w:pStyle w:val="Heading2"/>
      </w:pPr>
      <w:r w:rsidRPr="00A138D9">
        <w:br w:type="page"/>
      </w:r>
    </w:p>
    <w:p w14:paraId="497EFD73" w14:textId="591BEEE1" w:rsidR="00E20DC6" w:rsidRPr="00F34AA3" w:rsidRDefault="006A2F0B" w:rsidP="001C0EE6">
      <w:pPr>
        <w:pStyle w:val="Heading1"/>
      </w:pPr>
      <w:r w:rsidRPr="00F34AA3">
        <w:lastRenderedPageBreak/>
        <w:t>OMB</w:t>
      </w:r>
      <w:r w:rsidR="00035C2D" w:rsidRPr="00F34AA3">
        <w:t xml:space="preserve">UDSMAN’S </w:t>
      </w:r>
      <w:r w:rsidRPr="00F34AA3">
        <w:t>REPORT</w:t>
      </w:r>
    </w:p>
    <w:p w14:paraId="0D994C13" w14:textId="77777777" w:rsidR="00353A94" w:rsidRPr="00353A94" w:rsidRDefault="00353A94" w:rsidP="00353A94">
      <w:r w:rsidRPr="00353A94">
        <w:t>This year we are presenting a smaller and more refined report from previous years because we now publish more focused information more regularly, in the form of annual bulletins of special interest. So far, we have released an Accessibility Bulletin and a Customer Experience Bulletin, and later we plan to release a bulletin focusing on the experiences of regional travellers. The bulletins allow our stakeholders to obtain more specialised information about the kinds of complaints we hear and how we respond to them. We hope that focusing on these key areas will make it easier for some of the more system-wide issues to be resolved and services to be improved. You can find out more about these bulletins on page 12.</w:t>
      </w:r>
    </w:p>
    <w:p w14:paraId="4D082707" w14:textId="77777777" w:rsidR="00353A94" w:rsidRPr="00353A94" w:rsidRDefault="00353A94" w:rsidP="00353A94">
      <w:r w:rsidRPr="00353A94">
        <w:t xml:space="preserve">Sharing our data to inform system improvements is a key recommendation from the recent independent review of the Scheme. There were also some other operational recommendations which were aimed at ensuring general awareness of, and accessibility to, PTO services are improved. This echoes projects that my office has been working on, such as improving our website and working with our members on how they can make customers aware of the PTO by removing barriers to escalating their complaint to the PTO. </w:t>
      </w:r>
    </w:p>
    <w:p w14:paraId="1B776C01" w14:textId="40D42FAB" w:rsidR="00353A94" w:rsidRPr="00353A94" w:rsidRDefault="00353A94" w:rsidP="00353A94">
      <w:r w:rsidRPr="00353A94">
        <w:t xml:space="preserve">Overall the Scheme review was very positive about the compliance of the PTO and how we deliver our services with the PTO meeting the Benchmarks for Customer-Based Dispute Resolution Schemes, which are; accessibility, accountability, fairness, independence, efficiency and effectiveness. I would like to thank all the members and other stakeholders who participated in that review. I am pleased the reviewer confirmed my own view that a key strength of the Scheme is the work we do in looking at system-wide issues and encouraging our members to find solutions. </w:t>
      </w:r>
    </w:p>
    <w:p w14:paraId="4F7729D8" w14:textId="77777777" w:rsidR="00353A94" w:rsidRPr="00353A94" w:rsidRDefault="00353A94" w:rsidP="00353A94">
      <w:r w:rsidRPr="00353A94">
        <w:t xml:space="preserve">My office will continue to focus on the issues affecting people with low levels of complaint efficacy such as young people, people with a disability or those who may be experiencing vulnerability, and we will continue to press for the fairest and most accessible public transport system possible. </w:t>
      </w:r>
    </w:p>
    <w:p w14:paraId="298D2840" w14:textId="77777777" w:rsidR="00353A94" w:rsidRPr="00353A94" w:rsidRDefault="00353A94" w:rsidP="00353A94">
      <w:r w:rsidRPr="00353A94">
        <w:t>Considering the level of disruptions across all areas of the network, there hasn’t been a dramatic increase in approaches to the PTO (18%), however, complaints have risen by 21%. This shows that while the planned disruptions have been accepted overall, and the planning for replacement services and the associated communications has been successful to date, disruptions in particular, have generated increased complaints. Disruption complaints increased 54% from 138 to 212. My office has a systemic investigation open to review how unplanned disruptions can be handled better. The key issues are around the manner, quality and consistency with which information about the disruption and the alternative travel options are provided by operators and PTV to customers.</w:t>
      </w:r>
    </w:p>
    <w:p w14:paraId="274DDE7E" w14:textId="77777777" w:rsidR="00353A94" w:rsidRPr="00353A94" w:rsidRDefault="00353A94" w:rsidP="00353A94">
      <w:r w:rsidRPr="00353A94">
        <w:t xml:space="preserve">More detailed information about our complaint data can be found on page 20 of the report. </w:t>
      </w:r>
    </w:p>
    <w:p w14:paraId="18BEFD30" w14:textId="77777777" w:rsidR="00353A94" w:rsidRDefault="00353A94" w:rsidP="00353A94">
      <w:r w:rsidRPr="00353A94">
        <w:t>I wish to extend my thanks to the PTO Board and Company Secretary for their ongoing guidance and commitment and to the very supportive, skilled and committed PTO team.</w:t>
      </w:r>
      <w:r>
        <w:t xml:space="preserve"> </w:t>
      </w:r>
    </w:p>
    <w:p w14:paraId="21DD45C7" w14:textId="12D88DA7" w:rsidR="002020DB" w:rsidRPr="00A138D9" w:rsidRDefault="0049239E" w:rsidP="00353A94">
      <w:r w:rsidRPr="00A138D9">
        <w:t>Treasure Jennings</w:t>
      </w:r>
      <w:r w:rsidRPr="00A138D9">
        <w:br/>
        <w:t>Public Transport Ombudsman</w:t>
      </w:r>
    </w:p>
    <w:p w14:paraId="759BE7EF" w14:textId="61F4248C" w:rsidR="006A2F0B" w:rsidRPr="00A138D9" w:rsidRDefault="006A2F0B" w:rsidP="005F35B0"/>
    <w:p w14:paraId="791DC038" w14:textId="509F9D78" w:rsidR="0049239E" w:rsidRPr="00A138D9" w:rsidRDefault="0049239E" w:rsidP="005F35B0">
      <w:r w:rsidRPr="00A138D9">
        <w:br w:type="page"/>
      </w:r>
    </w:p>
    <w:p w14:paraId="1668D871" w14:textId="7715CD31" w:rsidR="006A2F0B" w:rsidRDefault="0049239E" w:rsidP="001C0EE6">
      <w:pPr>
        <w:pStyle w:val="Heading1"/>
      </w:pPr>
      <w:r w:rsidRPr="007C0085">
        <w:lastRenderedPageBreak/>
        <w:t>PTO BOARD</w:t>
      </w:r>
      <w:r w:rsidR="00973474">
        <w:t xml:space="preserve"> MEMBERS</w:t>
      </w:r>
    </w:p>
    <w:p w14:paraId="7F460425" w14:textId="77777777" w:rsidR="00FE3E8A" w:rsidRPr="00FE3E8A" w:rsidRDefault="00FE3E8A" w:rsidP="00FE3E8A">
      <w:pPr>
        <w:rPr>
          <w:i/>
          <w:iCs/>
        </w:rPr>
      </w:pPr>
      <w:r w:rsidRPr="00FE3E8A">
        <w:rPr>
          <w:i/>
          <w:iCs/>
        </w:rPr>
        <w:t>*Double page spread shows portrait photographs of the PTO Board.</w:t>
      </w:r>
    </w:p>
    <w:p w14:paraId="356DD407" w14:textId="77777777" w:rsidR="00973474" w:rsidRDefault="006B4695" w:rsidP="00973474">
      <w:pPr>
        <w:pStyle w:val="Heading2"/>
      </w:pPr>
      <w:r w:rsidRPr="00A138D9">
        <w:t>Kay Rundle</w:t>
      </w:r>
    </w:p>
    <w:p w14:paraId="0DB05B51" w14:textId="3F082B8C" w:rsidR="006B4695" w:rsidRDefault="006B4695" w:rsidP="00973474">
      <w:r w:rsidRPr="00A138D9">
        <w:t xml:space="preserve">Chair </w:t>
      </w:r>
    </w:p>
    <w:p w14:paraId="52EFD1A6" w14:textId="1F614686" w:rsidR="00353A94" w:rsidRDefault="00353A94" w:rsidP="00973474">
      <w:r>
        <w:t>Kay has been the Chair of the PTO since November 2015. Kay has an extensive background as a former CEO of local government and has held several directorships and Chair appointments.</w:t>
      </w:r>
    </w:p>
    <w:p w14:paraId="7E7C4189" w14:textId="77777777" w:rsidR="00973474" w:rsidRDefault="00973474" w:rsidP="00973474">
      <w:pPr>
        <w:pStyle w:val="Heading2"/>
      </w:pPr>
      <w:r>
        <w:t xml:space="preserve">Glenyys Romanes </w:t>
      </w:r>
    </w:p>
    <w:p w14:paraId="7FEB1648" w14:textId="77777777" w:rsidR="00973474" w:rsidRDefault="00973474" w:rsidP="00973474">
      <w:r>
        <w:t xml:space="preserve">Independent Non-executive Director since January 2018 </w:t>
      </w:r>
    </w:p>
    <w:p w14:paraId="78C2CF8C" w14:textId="64A136C0" w:rsidR="00973474" w:rsidRDefault="00973474" w:rsidP="00973474">
      <w:proofErr w:type="spellStart"/>
      <w:r>
        <w:t>Glenyys</w:t>
      </w:r>
      <w:proofErr w:type="spellEnd"/>
      <w:r>
        <w:t xml:space="preserve"> has a keen interest in public transport and has extensive experience in different levels of Government including as former Member of the Victorian Parliament, elected Councillor in Local Government and Mayor of the former Brunswick Council. </w:t>
      </w:r>
    </w:p>
    <w:p w14:paraId="4D30209D" w14:textId="77777777" w:rsidR="00973474" w:rsidRDefault="00973474" w:rsidP="00973474">
      <w:pPr>
        <w:pStyle w:val="Heading2"/>
      </w:pPr>
      <w:r>
        <w:t xml:space="preserve">Llewellyn Prain </w:t>
      </w:r>
    </w:p>
    <w:p w14:paraId="4A5FF449" w14:textId="77777777" w:rsidR="00973474" w:rsidRDefault="00973474" w:rsidP="00973474">
      <w:r>
        <w:t>Independent Non-executive Director since January 2016</w:t>
      </w:r>
    </w:p>
    <w:p w14:paraId="5E2B78C6" w14:textId="77777777" w:rsidR="00973474" w:rsidRDefault="00973474" w:rsidP="00973474">
      <w:r>
        <w:t>Llewellyn is an experienced company director and currently also serves on boards in the water and health sectors. She has a background in law and public policy. Llewellyn has a vision impairment and is passionate about improving disability inclusion in our community.</w:t>
      </w:r>
    </w:p>
    <w:p w14:paraId="21CBE4B4" w14:textId="77777777" w:rsidR="00973474" w:rsidRDefault="00973474" w:rsidP="00973474">
      <w:pPr>
        <w:pStyle w:val="Heading2"/>
      </w:pPr>
      <w:r>
        <w:t xml:space="preserve">Mark Davies </w:t>
      </w:r>
    </w:p>
    <w:p w14:paraId="26118344" w14:textId="77777777" w:rsidR="00973474" w:rsidRDefault="00973474" w:rsidP="00973474">
      <w:r>
        <w:t>Independent Non-executive Director since July 2016</w:t>
      </w:r>
    </w:p>
    <w:p w14:paraId="08E5922F" w14:textId="77777777" w:rsidR="00973474" w:rsidRDefault="00973474" w:rsidP="00973474">
      <w:r>
        <w:t>Mark is a Chartered Accountant and former CEO of Surf Coast Shire Council and continues to provide consultancy services to the sector.</w:t>
      </w:r>
    </w:p>
    <w:p w14:paraId="3F1F9EF9" w14:textId="13A587A3" w:rsidR="00973474" w:rsidRDefault="00973474" w:rsidP="00973474">
      <w:pPr>
        <w:pStyle w:val="Heading2"/>
      </w:pPr>
      <w:r>
        <w:t xml:space="preserve">Bernard </w:t>
      </w:r>
      <w:proofErr w:type="spellStart"/>
      <w:r>
        <w:t>Stute</w:t>
      </w:r>
      <w:proofErr w:type="spellEnd"/>
      <w:r>
        <w:t xml:space="preserve"> </w:t>
      </w:r>
    </w:p>
    <w:p w14:paraId="3B228D3A" w14:textId="77777777" w:rsidR="00973474" w:rsidRDefault="00973474" w:rsidP="00973474">
      <w:r>
        <w:t>Company Secretary</w:t>
      </w:r>
    </w:p>
    <w:p w14:paraId="3790AA96" w14:textId="77777777" w:rsidR="00973474" w:rsidRDefault="00973474" w:rsidP="00973474">
      <w:r>
        <w:t>Bernard has extensive experience in Government and public transport having worked in excess of 16 years in this sector. He is a lawyer and has supported the PTO in the role of Company Secretary since its inception.</w:t>
      </w:r>
    </w:p>
    <w:p w14:paraId="07579994" w14:textId="77777777" w:rsidR="00973474" w:rsidRDefault="00973474" w:rsidP="00973474">
      <w:pPr>
        <w:pStyle w:val="Heading2"/>
      </w:pPr>
      <w:r>
        <w:t xml:space="preserve">DR. Chris Lowe </w:t>
      </w:r>
    </w:p>
    <w:p w14:paraId="46AB76EA" w14:textId="77777777" w:rsidR="00973474" w:rsidRDefault="00973474" w:rsidP="00973474">
      <w:r>
        <w:t>Industry Director (</w:t>
      </w:r>
      <w:proofErr w:type="spellStart"/>
      <w:r>
        <w:t>BusVic</w:t>
      </w:r>
      <w:proofErr w:type="spellEnd"/>
      <w:r>
        <w:t>) since December 2017</w:t>
      </w:r>
    </w:p>
    <w:p w14:paraId="3AFDD908" w14:textId="77777777" w:rsidR="00973474" w:rsidRDefault="00973474" w:rsidP="00973474">
      <w:r>
        <w:t xml:space="preserve">Chris is the CEO of </w:t>
      </w:r>
      <w:proofErr w:type="spellStart"/>
      <w:r>
        <w:t>BusVic</w:t>
      </w:r>
      <w:proofErr w:type="spellEnd"/>
      <w:r>
        <w:t>.</w:t>
      </w:r>
    </w:p>
    <w:p w14:paraId="400B16CD" w14:textId="77777777" w:rsidR="00973474" w:rsidRDefault="00973474" w:rsidP="00973474">
      <w:pPr>
        <w:pStyle w:val="Heading2"/>
      </w:pPr>
      <w:r>
        <w:t xml:space="preserve">Marika Harvey </w:t>
      </w:r>
    </w:p>
    <w:p w14:paraId="0476859A" w14:textId="77777777" w:rsidR="00973474" w:rsidRDefault="00973474" w:rsidP="00973474">
      <w:r>
        <w:t>Industry Director (Public Transport Victoria) since December 2018</w:t>
      </w:r>
    </w:p>
    <w:p w14:paraId="51F0113A" w14:textId="77777777" w:rsidR="00973474" w:rsidRDefault="00973474" w:rsidP="00973474">
      <w:r>
        <w:t>Marika is the General Manager, Public Transport Operations at the Department of Transport.</w:t>
      </w:r>
    </w:p>
    <w:p w14:paraId="16E7D824" w14:textId="77777777" w:rsidR="00973474" w:rsidRDefault="00973474" w:rsidP="00973474">
      <w:pPr>
        <w:pStyle w:val="Heading2"/>
      </w:pPr>
      <w:r>
        <w:lastRenderedPageBreak/>
        <w:t xml:space="preserve">Pete Ryan </w:t>
      </w:r>
    </w:p>
    <w:p w14:paraId="575BABD4" w14:textId="77777777" w:rsidR="00973474" w:rsidRDefault="00973474" w:rsidP="00973474">
      <w:r>
        <w:t xml:space="preserve">Industry Director (Metro Trains) since March 2018 </w:t>
      </w:r>
    </w:p>
    <w:p w14:paraId="72DBBA2E" w14:textId="77777777" w:rsidR="00973474" w:rsidRDefault="00973474" w:rsidP="00973474">
      <w:r>
        <w:t>Pete is the Executive Director, Finance and Commercial at Metro Trains Melbourne.</w:t>
      </w:r>
    </w:p>
    <w:p w14:paraId="029CD807" w14:textId="77777777" w:rsidR="00973474" w:rsidRDefault="00973474" w:rsidP="005F35B0"/>
    <w:p w14:paraId="4B94B915" w14:textId="0F78D854" w:rsidR="00DD0C92" w:rsidRDefault="006B4695" w:rsidP="00DD0C92">
      <w:pPr>
        <w:pStyle w:val="Heading1"/>
      </w:pPr>
      <w:r w:rsidRPr="00A138D9">
        <w:br w:type="page"/>
      </w:r>
      <w:r w:rsidR="00DD0C92">
        <w:lastRenderedPageBreak/>
        <w:t>Scheme review</w:t>
      </w:r>
    </w:p>
    <w:p w14:paraId="17265408" w14:textId="77777777" w:rsidR="00DD0C92" w:rsidRDefault="00DD0C92" w:rsidP="00DD0C92">
      <w:r>
        <w:t xml:space="preserve">Under the PTO Charter we are required to have our performance independently reviewed every five years. We provide our services in line with the six benchmarks for industry-based customer dispute resolution (The Benchmarks) which are accessibility, accountability, effectiveness, efficiency, fairness and independence. </w:t>
      </w:r>
    </w:p>
    <w:p w14:paraId="34728069" w14:textId="77777777" w:rsidR="00DD0C92" w:rsidRDefault="00DD0C92" w:rsidP="00DD0C92">
      <w:r>
        <w:t>2019 marks the 15th year of operation for the PTO and the third such review of our performance.</w:t>
      </w:r>
    </w:p>
    <w:p w14:paraId="27B51D41" w14:textId="77777777" w:rsidR="00DD0C92" w:rsidRDefault="00DD0C92" w:rsidP="00DD0C92">
      <w:r>
        <w:t xml:space="preserve">We engaged the service of Dr Gavin </w:t>
      </w:r>
      <w:proofErr w:type="spellStart"/>
      <w:r>
        <w:t>McBurnie</w:t>
      </w:r>
      <w:proofErr w:type="spellEnd"/>
      <w:r>
        <w:t xml:space="preserve"> from the </w:t>
      </w:r>
      <w:r w:rsidRPr="00DD0C92">
        <w:t>Consumer Dispute Resolution Centre (CDRC) at Queen Margaret University</w:t>
      </w:r>
      <w:r>
        <w:t xml:space="preserve"> (Scotland, UK) because it is a centre of excellence in the provision of research and consultancy services for consumer complaint handling organisations such as the PTO. </w:t>
      </w:r>
    </w:p>
    <w:p w14:paraId="6A3009AC" w14:textId="77777777" w:rsidR="00DD0C92" w:rsidRDefault="00DD0C92" w:rsidP="00DD0C92">
      <w:r>
        <w:t xml:space="preserve">The Board of the PTO took this opportunity to look at the Scheme broadly and asked the reviewers to consider the governance structures of the PTO and provide us with advice based on aspiring to achieve a ‘best in breed’ consumer dispute resolution model. </w:t>
      </w:r>
    </w:p>
    <w:p w14:paraId="4FEFFB20" w14:textId="77777777" w:rsidR="00DD0C92" w:rsidRDefault="00DD0C92" w:rsidP="00DD0C92">
      <w:r>
        <w:t xml:space="preserve">The recommendations highlighted opportunities for the PTO to review aspects of our operations to improve fairness, and to consider changes to some of our governance arrangements. There were also recommendations regarding the scope and reach of the Scheme in light of broader consumer feedback. </w:t>
      </w:r>
    </w:p>
    <w:p w14:paraId="4481ED31" w14:textId="77777777" w:rsidR="00DD0C92" w:rsidRDefault="00DD0C92" w:rsidP="00DD0C92">
      <w:r>
        <w:t xml:space="preserve">While there may be some logical areas where expanding the PTO’s jurisdiction might improve consumer outcomes, overall the Scheme meets the needs of the travelling public and those affected by public transport works. </w:t>
      </w:r>
    </w:p>
    <w:p w14:paraId="4775403A" w14:textId="77777777" w:rsidR="00DD0C92" w:rsidRDefault="00DD0C92" w:rsidP="00DD0C92">
      <w:r>
        <w:t>Increasing public awareness of the PTO and improving the ease with which a person can complain to us when they are dissatisfied continues to be an area of opportunity and the report recommended the PTO continue to simplify how consumers find out about and access the PTO. The PTO is working with its members on ensuring clear pathways for consumer redress, especially those who wish to exercise their right to complain to the PTO.</w:t>
      </w:r>
    </w:p>
    <w:p w14:paraId="72D002C3" w14:textId="77777777" w:rsidR="008469CF" w:rsidRPr="008469CF" w:rsidRDefault="00DD0C92" w:rsidP="008469CF">
      <w:pPr>
        <w:spacing w:before="0" w:beforeAutospacing="0" w:after="0" w:afterAutospacing="0"/>
        <w:rPr>
          <w:rFonts w:ascii="Times New Roman" w:eastAsia="Times New Roman" w:hAnsi="Times New Roman"/>
          <w:lang w:eastAsia="en-GB"/>
        </w:rPr>
      </w:pPr>
      <w:r>
        <w:t xml:space="preserve">The full report and the Board’s response to these recommendations are available </w:t>
      </w:r>
      <w:r w:rsidRPr="00DD0C92">
        <w:t xml:space="preserve">on the </w:t>
      </w:r>
      <w:proofErr w:type="spellStart"/>
      <w:r w:rsidRPr="00DD0C92">
        <w:t>pto</w:t>
      </w:r>
      <w:proofErr w:type="spellEnd"/>
      <w:r w:rsidRPr="00DD0C92">
        <w:t xml:space="preserve"> website</w:t>
      </w:r>
      <w:r w:rsidR="008469CF">
        <w:t xml:space="preserve"> at </w:t>
      </w:r>
      <w:hyperlink r:id="rId7" w:history="1">
        <w:r w:rsidR="008469CF" w:rsidRPr="006F44B6">
          <w:rPr>
            <w:rStyle w:val="Hyperlink"/>
          </w:rPr>
          <w:t>https://www.ptovic.com.au/about-us/charter</w:t>
        </w:r>
      </w:hyperlink>
    </w:p>
    <w:p w14:paraId="2A0FCE5B" w14:textId="2099E269" w:rsidR="00DD0C92" w:rsidRDefault="00DD0C92" w:rsidP="00DD0C92"/>
    <w:p w14:paraId="1ED7B5A1" w14:textId="12282B17" w:rsidR="00DD0C92" w:rsidRDefault="00DD0C92">
      <w:pPr>
        <w:spacing w:before="0" w:beforeAutospacing="0" w:after="160" w:afterAutospacing="0" w:line="259" w:lineRule="auto"/>
      </w:pPr>
      <w:r>
        <w:br w:type="page"/>
      </w:r>
    </w:p>
    <w:p w14:paraId="220E65E2" w14:textId="77777777" w:rsidR="00DD0C92" w:rsidRDefault="00DD0C92" w:rsidP="009E40B8">
      <w:pPr>
        <w:pStyle w:val="Heading1"/>
      </w:pPr>
      <w:r>
        <w:lastRenderedPageBreak/>
        <w:t>Staff and the customer experience</w:t>
      </w:r>
    </w:p>
    <w:p w14:paraId="1BFA35A4" w14:textId="501035C9" w:rsidR="009E40B8" w:rsidRPr="009E40B8" w:rsidRDefault="009E40B8" w:rsidP="009E40B8">
      <w:r w:rsidRPr="009E40B8">
        <w:t xml:space="preserve">In the last year there has been a great deal of change on the public transport network and our analysis indicates that construction, disruption and reliability issues have translated to more pressure on staff across the network and this has resulted in more complaints. At the same time, we have changed the way we record and categorise staff complaints so that we can more accurately measure complaints and provide meaningful data to our members on staff related issues. This has led to a new baseline for staff issues. In summary, all these factors combined to elevate the recording of staff issues this year and it is not easy to strictly compare last year’s figure of 886 with this year’s figure of 2035. </w:t>
      </w:r>
    </w:p>
    <w:p w14:paraId="68E8A0C7" w14:textId="77777777" w:rsidR="009E40B8" w:rsidRPr="009E40B8" w:rsidRDefault="009E40B8" w:rsidP="009E40B8">
      <w:r w:rsidRPr="009E40B8">
        <w:t xml:space="preserve">You can read more about the customer experience of public transport, including staff interactions, in our first annual Customer Experience Bulletin. The bulletin looks at the customer experience from a whole of journey perspective and highlights where customers are most dissatisfied with their experience. Myki related issues as a group were most problematic, however the biggest single complaint issue about staff related to drivers, which includes failure to </w:t>
      </w:r>
      <w:proofErr w:type="spellStart"/>
      <w:r w:rsidRPr="009E40B8">
        <w:t>pickup</w:t>
      </w:r>
      <w:proofErr w:type="spellEnd"/>
      <w:r w:rsidRPr="009E40B8">
        <w:t xml:space="preserve"> and set down, safe driving and conduct more generally. Safety is a challenging area of complaints for operators and PTV and we encourage more work on training and support for drivers.  </w:t>
      </w:r>
    </w:p>
    <w:p w14:paraId="4B2342EC" w14:textId="77777777" w:rsidR="009E40B8" w:rsidRPr="009E40B8" w:rsidRDefault="009E40B8" w:rsidP="009E40B8">
      <w:pPr>
        <w:spacing w:before="0" w:beforeAutospacing="0" w:after="0" w:afterAutospacing="0"/>
        <w:rPr>
          <w:rFonts w:ascii="Times New Roman" w:eastAsia="Times New Roman" w:hAnsi="Times New Roman"/>
          <w:lang w:eastAsia="en-GB"/>
        </w:rPr>
      </w:pPr>
      <w:r w:rsidRPr="009E40B8">
        <w:t xml:space="preserve">The following is a summary of the data we published. You can view the entire Customer Experience Bulletin on our website </w:t>
      </w:r>
      <w:r>
        <w:t xml:space="preserve">at </w:t>
      </w:r>
      <w:hyperlink r:id="rId8" w:history="1">
        <w:r w:rsidRPr="00F95EA8">
          <w:rPr>
            <w:rStyle w:val="Hyperlink"/>
          </w:rPr>
          <w:t>https://www.ptovic.com.au/about-us/publications</w:t>
        </w:r>
      </w:hyperlink>
    </w:p>
    <w:p w14:paraId="2427BC3B" w14:textId="77777777" w:rsidR="00BB5E52" w:rsidRPr="00BB5E52" w:rsidRDefault="00BB5E52" w:rsidP="009835A8">
      <w:pPr>
        <w:pStyle w:val="Heading2"/>
        <w:numPr>
          <w:ilvl w:val="0"/>
          <w:numId w:val="3"/>
        </w:numPr>
      </w:pPr>
      <w:r w:rsidRPr="00BB5E52">
        <w:t>Journey planning and wayfinding</w:t>
      </w:r>
    </w:p>
    <w:p w14:paraId="23B6A0B6" w14:textId="63B7DF8D" w:rsidR="00BB5E52" w:rsidRDefault="00BB5E52" w:rsidP="00BB5E52">
      <w:r w:rsidRPr="00BB5E52">
        <w:t xml:space="preserve">Planning and wayfinding </w:t>
      </w:r>
      <w:proofErr w:type="gramStart"/>
      <w:r w:rsidRPr="00BB5E52">
        <w:t>is</w:t>
      </w:r>
      <w:proofErr w:type="gramEnd"/>
      <w:r w:rsidRPr="00BB5E52">
        <w:t xml:space="preserve"> how people navigate around public transport and make their travel plans</w:t>
      </w:r>
    </w:p>
    <w:p w14:paraId="3BA6C7F1" w14:textId="77777777" w:rsidR="00BB5E52" w:rsidRPr="00011B81" w:rsidRDefault="00BB5E52" w:rsidP="00BB5E52">
      <w:pPr>
        <w:pStyle w:val="Heading3"/>
      </w:pPr>
      <w:r>
        <w:t>Pie</w:t>
      </w:r>
      <w:r w:rsidRPr="00011B81">
        <w:t xml:space="preserve"> </w:t>
      </w:r>
      <w:r>
        <w:t>graph</w:t>
      </w:r>
      <w:r w:rsidRPr="00011B81">
        <w:t xml:space="preserve"> depict</w:t>
      </w:r>
      <w:r>
        <w:t>s</w:t>
      </w:r>
      <w:r w:rsidRPr="00011B81">
        <w:t xml:space="preserve"> the following:</w:t>
      </w:r>
    </w:p>
    <w:p w14:paraId="2008003D" w14:textId="0E76FC82" w:rsidR="00BB5E52" w:rsidRPr="00BB5E52" w:rsidRDefault="00BB5E52" w:rsidP="00BB5E52">
      <w:r w:rsidRPr="00011B81">
        <w:t>There was a total of 298 issues related to journey planning and wayfinding</w:t>
      </w:r>
      <w:r>
        <w:t xml:space="preserve">, </w:t>
      </w:r>
      <w:r w:rsidRPr="00011B81">
        <w:t xml:space="preserve">comprised of: </w:t>
      </w:r>
      <w:r>
        <w:t>I</w:t>
      </w:r>
      <w:r w:rsidRPr="00011B81">
        <w:t>nformation availability</w:t>
      </w:r>
      <w:r>
        <w:t xml:space="preserve"> (</w:t>
      </w:r>
      <w:r w:rsidRPr="00011B81">
        <w:t>93); Timetables (92); Website/Social Media (73) and Information Accuracy (40).</w:t>
      </w:r>
    </w:p>
    <w:p w14:paraId="3040352B" w14:textId="77777777" w:rsidR="00BB5E52" w:rsidRPr="00BB5E52" w:rsidRDefault="00BB5E52" w:rsidP="009835A8">
      <w:pPr>
        <w:pStyle w:val="Heading2"/>
        <w:numPr>
          <w:ilvl w:val="0"/>
          <w:numId w:val="3"/>
        </w:numPr>
      </w:pPr>
      <w:r w:rsidRPr="00BB5E52">
        <w:t>Buying and managing tickets</w:t>
      </w:r>
    </w:p>
    <w:p w14:paraId="2A447E4D" w14:textId="77777777" w:rsidR="00BB5E52" w:rsidRPr="00BB5E52" w:rsidRDefault="00BB5E52" w:rsidP="00BB5E52">
      <w:r w:rsidRPr="00BB5E52">
        <w:t xml:space="preserve">Buying and managing tickets includes myki and paper tickets in some regional locations. </w:t>
      </w:r>
    </w:p>
    <w:p w14:paraId="1D9E9817" w14:textId="77777777" w:rsidR="00BB5E52" w:rsidRPr="00011B81" w:rsidRDefault="00BB5E52" w:rsidP="00BB5E52">
      <w:pPr>
        <w:pStyle w:val="Heading3"/>
      </w:pPr>
      <w:r>
        <w:t>Pie</w:t>
      </w:r>
      <w:r w:rsidRPr="00011B81">
        <w:t xml:space="preserve"> </w:t>
      </w:r>
      <w:r>
        <w:t>graph</w:t>
      </w:r>
      <w:r w:rsidRPr="00011B81">
        <w:t xml:space="preserve"> depict</w:t>
      </w:r>
      <w:r>
        <w:t>s</w:t>
      </w:r>
      <w:r w:rsidRPr="00011B81">
        <w:t xml:space="preserve"> the following:</w:t>
      </w:r>
    </w:p>
    <w:p w14:paraId="20AE14FC" w14:textId="30388073" w:rsidR="00BB5E52" w:rsidRPr="00BB5E52" w:rsidRDefault="00BB5E52" w:rsidP="00BB5E52">
      <w:r w:rsidRPr="00011B81">
        <w:t xml:space="preserve">There was a total of </w:t>
      </w:r>
      <w:r>
        <w:t>1,381</w:t>
      </w:r>
      <w:r w:rsidRPr="00011B81">
        <w:t xml:space="preserve"> issues related to </w:t>
      </w:r>
      <w:r>
        <w:t>buying and managing your ticket,</w:t>
      </w:r>
      <w:r w:rsidRPr="00011B81">
        <w:t xml:space="preserve"> comprised of: </w:t>
      </w:r>
      <w:r w:rsidRPr="008C5EF0">
        <w:t>Refund/Reimbursement (</w:t>
      </w:r>
      <w:r>
        <w:t>417</w:t>
      </w:r>
      <w:r w:rsidRPr="008C5EF0">
        <w:t>)</w:t>
      </w:r>
      <w:r>
        <w:t xml:space="preserve">; </w:t>
      </w:r>
      <w:r w:rsidRPr="008C5EF0">
        <w:t>Top Up (</w:t>
      </w:r>
      <w:r>
        <w:t>257</w:t>
      </w:r>
      <w:r w:rsidRPr="008C5EF0">
        <w:t>)</w:t>
      </w:r>
      <w:r>
        <w:t xml:space="preserve">; </w:t>
      </w:r>
      <w:r w:rsidRPr="008C5EF0">
        <w:t>Charges (157)</w:t>
      </w:r>
      <w:r>
        <w:t xml:space="preserve">; </w:t>
      </w:r>
      <w:r w:rsidRPr="008C5EF0">
        <w:t>Account (80)</w:t>
      </w:r>
      <w:r>
        <w:t xml:space="preserve">; </w:t>
      </w:r>
      <w:r w:rsidRPr="008C5EF0">
        <w:t>Terms &amp; Conditions/ VFTM (80)</w:t>
      </w:r>
      <w:r>
        <w:t xml:space="preserve">; </w:t>
      </w:r>
      <w:r w:rsidRPr="008C5EF0">
        <w:t>Replacement (</w:t>
      </w:r>
      <w:r>
        <w:t>68</w:t>
      </w:r>
      <w:r w:rsidRPr="008C5EF0">
        <w:t>)</w:t>
      </w:r>
      <w:r>
        <w:t xml:space="preserve">; </w:t>
      </w:r>
      <w:r w:rsidRPr="008C5EF0">
        <w:t>Balance transfer (67)</w:t>
      </w:r>
      <w:r>
        <w:t xml:space="preserve">; </w:t>
      </w:r>
      <w:r w:rsidRPr="008C5EF0">
        <w:t>Concessions &amp; free travel (5</w:t>
      </w:r>
      <w:r>
        <w:t>4</w:t>
      </w:r>
      <w:r w:rsidRPr="008C5EF0">
        <w:t>)</w:t>
      </w:r>
      <w:r>
        <w:t xml:space="preserve">; </w:t>
      </w:r>
      <w:r w:rsidRPr="008C5EF0">
        <w:t>Vending Machine (51)</w:t>
      </w:r>
      <w:r>
        <w:t xml:space="preserve">; </w:t>
      </w:r>
      <w:r w:rsidRPr="008C5EF0">
        <w:t>Lost/Stolen/Damaged (49)</w:t>
      </w:r>
      <w:r>
        <w:t xml:space="preserve">; </w:t>
      </w:r>
      <w:r w:rsidRPr="008C5EF0">
        <w:t>Point of Sale (</w:t>
      </w:r>
      <w:r>
        <w:t>39</w:t>
      </w:r>
      <w:r w:rsidRPr="008C5EF0">
        <w:t>)</w:t>
      </w:r>
      <w:r>
        <w:t xml:space="preserve">; </w:t>
      </w:r>
      <w:r w:rsidRPr="008C5EF0">
        <w:t>Mobile (28)</w:t>
      </w:r>
      <w:r>
        <w:t xml:space="preserve">; </w:t>
      </w:r>
      <w:r w:rsidRPr="008C5EF0">
        <w:t>Card Reader/Gate (24)</w:t>
      </w:r>
      <w:r>
        <w:t xml:space="preserve"> and </w:t>
      </w:r>
      <w:r w:rsidRPr="008C5EF0">
        <w:t>Dormant (10)</w:t>
      </w:r>
      <w:r>
        <w:t>.</w:t>
      </w:r>
    </w:p>
    <w:p w14:paraId="5167C630" w14:textId="77777777" w:rsidR="00BB5E52" w:rsidRPr="00BB5E52" w:rsidRDefault="00BB5E52" w:rsidP="009835A8">
      <w:pPr>
        <w:pStyle w:val="Heading2"/>
        <w:numPr>
          <w:ilvl w:val="0"/>
          <w:numId w:val="3"/>
        </w:numPr>
      </w:pPr>
      <w:r w:rsidRPr="00BB5E52">
        <w:t>On your journey</w:t>
      </w:r>
    </w:p>
    <w:p w14:paraId="152AF396" w14:textId="77777777" w:rsidR="00BB5E52" w:rsidRPr="00BB5E52" w:rsidRDefault="00BB5E52" w:rsidP="00BB5E52">
      <w:r w:rsidRPr="00BB5E52">
        <w:t>On journey experiences include all aspects of travel from the time of setting out until you reach your destination, and considers accessibility, comfort and staff interactions along the way.</w:t>
      </w:r>
    </w:p>
    <w:p w14:paraId="20F2A2FF" w14:textId="77777777" w:rsidR="00BB5E52" w:rsidRPr="00011B81" w:rsidRDefault="00BB5E52" w:rsidP="00BB5E52">
      <w:pPr>
        <w:pStyle w:val="Heading3"/>
      </w:pPr>
      <w:r>
        <w:lastRenderedPageBreak/>
        <w:t>Pie</w:t>
      </w:r>
      <w:r w:rsidRPr="00011B81">
        <w:t xml:space="preserve"> </w:t>
      </w:r>
      <w:r>
        <w:t>graph</w:t>
      </w:r>
      <w:r w:rsidRPr="00011B81">
        <w:t xml:space="preserve"> depict</w:t>
      </w:r>
      <w:r>
        <w:t>s</w:t>
      </w:r>
      <w:r w:rsidRPr="00011B81">
        <w:t xml:space="preserve"> the following:</w:t>
      </w:r>
    </w:p>
    <w:p w14:paraId="2BCF744C" w14:textId="05C1CAAA" w:rsidR="00BB5E52" w:rsidRPr="00BB5E52" w:rsidRDefault="00BB5E52" w:rsidP="00BB5E52">
      <w:r w:rsidRPr="00011B81">
        <w:t xml:space="preserve">There was a total of </w:t>
      </w:r>
      <w:r>
        <w:t>872</w:t>
      </w:r>
      <w:r w:rsidRPr="00011B81">
        <w:t xml:space="preserve"> issues related to </w:t>
      </w:r>
      <w:r>
        <w:t xml:space="preserve">on your journey, </w:t>
      </w:r>
      <w:r w:rsidRPr="00011B81">
        <w:t>comprised of:</w:t>
      </w:r>
      <w:r w:rsidRPr="001B7EB4">
        <w:t xml:space="preserve"> Driver (392); </w:t>
      </w:r>
      <w:r w:rsidRPr="00474ED7">
        <w:t>Station/Tram stop/Bus stop (239)</w:t>
      </w:r>
      <w:r w:rsidRPr="001B7EB4">
        <w:t xml:space="preserve">; </w:t>
      </w:r>
      <w:r w:rsidRPr="00474ED7">
        <w:t>Station attendant (104)</w:t>
      </w:r>
      <w:r w:rsidRPr="001B7EB4">
        <w:t xml:space="preserve">; </w:t>
      </w:r>
      <w:r w:rsidRPr="00474ED7">
        <w:t>Passenger comfort (97)</w:t>
      </w:r>
      <w:r w:rsidRPr="001B7EB4">
        <w:t xml:space="preserve">; </w:t>
      </w:r>
      <w:r w:rsidRPr="00474ED7">
        <w:t>Accessibility of vehicles (40)</w:t>
      </w:r>
    </w:p>
    <w:p w14:paraId="50AD40EE" w14:textId="77777777" w:rsidR="00BB5E52" w:rsidRPr="00BB5E52" w:rsidRDefault="00BB5E52" w:rsidP="009835A8">
      <w:pPr>
        <w:pStyle w:val="Heading2"/>
        <w:numPr>
          <w:ilvl w:val="0"/>
          <w:numId w:val="3"/>
        </w:numPr>
      </w:pPr>
      <w:r w:rsidRPr="00BB5E52">
        <w:t>Complications and disruptions</w:t>
      </w:r>
    </w:p>
    <w:p w14:paraId="21A0C294" w14:textId="77777777" w:rsidR="00BB5E52" w:rsidRPr="00BB5E52" w:rsidRDefault="00BB5E52" w:rsidP="00BB5E52">
      <w:r w:rsidRPr="00BB5E52">
        <w:t>Complications and disruptions cover issues relating to the way disruptions are communicated and managed as well as other service delivery related complaints that interrupt a person’s travel plans</w:t>
      </w:r>
    </w:p>
    <w:p w14:paraId="5B10C31D" w14:textId="77777777" w:rsidR="00BB5E52" w:rsidRPr="00011B81" w:rsidRDefault="00BB5E52" w:rsidP="00BB5E52">
      <w:pPr>
        <w:pStyle w:val="Heading3"/>
      </w:pPr>
      <w:r>
        <w:t>Pie</w:t>
      </w:r>
      <w:r w:rsidRPr="00011B81">
        <w:t xml:space="preserve"> </w:t>
      </w:r>
      <w:r>
        <w:t>graph</w:t>
      </w:r>
      <w:r w:rsidRPr="00011B81">
        <w:t xml:space="preserve"> depict</w:t>
      </w:r>
      <w:r>
        <w:t>s</w:t>
      </w:r>
      <w:r w:rsidRPr="00011B81">
        <w:t xml:space="preserve"> the following:</w:t>
      </w:r>
    </w:p>
    <w:p w14:paraId="2F55729F" w14:textId="7688A183" w:rsidR="00BB5E52" w:rsidRPr="00BB5E52" w:rsidRDefault="00BB5E52" w:rsidP="00BB5E52">
      <w:pPr>
        <w:rPr>
          <w:rFonts w:cs="PTCIWX+RobotoCondensed-Regular"/>
        </w:rPr>
      </w:pPr>
      <w:r w:rsidRPr="00504333">
        <w:t>There was a total of 1152 issues related to complications and disruptions</w:t>
      </w:r>
      <w:r>
        <w:t xml:space="preserve">, </w:t>
      </w:r>
      <w:r w:rsidRPr="00504333">
        <w:t xml:space="preserve">comprised of: </w:t>
      </w:r>
      <w:r w:rsidRPr="00504333">
        <w:rPr>
          <w:rFonts w:cs="PTCIWX+RobotoCondensed-Regular"/>
        </w:rPr>
        <w:t xml:space="preserve">Reliability (250); Disruption (212); </w:t>
      </w:r>
      <w:r w:rsidRPr="00C00D9E">
        <w:rPr>
          <w:rFonts w:cs="PTCIWX+RobotoCondensed-Regular"/>
        </w:rPr>
        <w:t>Cancellation</w:t>
      </w:r>
      <w:r w:rsidRPr="00504333">
        <w:rPr>
          <w:rFonts w:cs="PTCIWX+RobotoCondensed-Regular"/>
        </w:rPr>
        <w:t xml:space="preserve"> (182); Punctuality (180); Replacement service (158); Insufficient service (79); Skipping stations or stops (47) and Overcrowding (44).</w:t>
      </w:r>
    </w:p>
    <w:p w14:paraId="7C1B02D8" w14:textId="77777777" w:rsidR="00BB5E52" w:rsidRPr="00BB5E52" w:rsidRDefault="00BB5E52" w:rsidP="009835A8">
      <w:pPr>
        <w:pStyle w:val="Heading2"/>
        <w:numPr>
          <w:ilvl w:val="0"/>
          <w:numId w:val="3"/>
        </w:numPr>
      </w:pPr>
      <w:r w:rsidRPr="00BB5E52">
        <w:t>Claims, compensation and contact centre</w:t>
      </w:r>
    </w:p>
    <w:p w14:paraId="33490471" w14:textId="77777777" w:rsidR="00BB5E52" w:rsidRPr="00BB5E52" w:rsidRDefault="00BB5E52" w:rsidP="00BB5E52">
      <w:r w:rsidRPr="00BB5E52">
        <w:t>Claims, compensation and contact centre relates to the experience a consumer has after they have completed their travel and includes making a complaint or seeking compensation, dealing with a fine or locating lost property.</w:t>
      </w:r>
    </w:p>
    <w:p w14:paraId="2074E070" w14:textId="77777777" w:rsidR="00BB5E52" w:rsidRPr="00011B81" w:rsidRDefault="00BB5E52" w:rsidP="00BB5E52">
      <w:pPr>
        <w:pStyle w:val="Heading3"/>
      </w:pPr>
      <w:r>
        <w:t>Pie</w:t>
      </w:r>
      <w:r w:rsidRPr="00011B81">
        <w:t xml:space="preserve"> </w:t>
      </w:r>
      <w:r>
        <w:t>graph</w:t>
      </w:r>
      <w:r w:rsidRPr="00011B81">
        <w:t xml:space="preserve"> depict</w:t>
      </w:r>
      <w:r>
        <w:t>s</w:t>
      </w:r>
      <w:r w:rsidRPr="00011B81">
        <w:t xml:space="preserve"> the following:</w:t>
      </w:r>
    </w:p>
    <w:p w14:paraId="133C3327" w14:textId="72A922E9" w:rsidR="00BB5E52" w:rsidRPr="00BB5E52" w:rsidRDefault="00BB5E52" w:rsidP="00BB5E52">
      <w:pPr>
        <w:rPr>
          <w:rFonts w:cs="PTCIWX+RobotoCondensed-Regular"/>
        </w:rPr>
      </w:pPr>
      <w:r w:rsidRPr="00847FCE">
        <w:t xml:space="preserve">There was a total of </w:t>
      </w:r>
      <w:r>
        <w:t>1193</w:t>
      </w:r>
      <w:r w:rsidRPr="00847FCE">
        <w:t xml:space="preserve"> issues related to claims, compensation and call centre</w:t>
      </w:r>
      <w:r>
        <w:t xml:space="preserve">, </w:t>
      </w:r>
      <w:r w:rsidRPr="00847FCE">
        <w:t xml:space="preserve">comprised of: </w:t>
      </w:r>
      <w:r w:rsidRPr="00847FCE">
        <w:rPr>
          <w:rFonts w:cs="PTCIWX+RobotoCondensed-Regular"/>
        </w:rPr>
        <w:t>Contact Centre (453)</w:t>
      </w:r>
      <w:r w:rsidRPr="00847FCE">
        <w:t xml:space="preserve">; </w:t>
      </w:r>
      <w:r w:rsidRPr="00847FCE">
        <w:rPr>
          <w:rFonts w:cs="PTCIWX+RobotoCondensed-Regular"/>
        </w:rPr>
        <w:t>Infringement notice (328)</w:t>
      </w:r>
      <w:r w:rsidRPr="00847FCE">
        <w:t xml:space="preserve">; </w:t>
      </w:r>
      <w:r w:rsidRPr="00847FCE">
        <w:rPr>
          <w:rFonts w:cs="PTCIWX+RobotoCondensed-Regular"/>
        </w:rPr>
        <w:t>Authorised Officer (82)</w:t>
      </w:r>
      <w:r w:rsidRPr="00847FCE">
        <w:t xml:space="preserve">; </w:t>
      </w:r>
      <w:r w:rsidRPr="00847FCE">
        <w:rPr>
          <w:rFonts w:cs="PTCIWX+RobotoCondensed-Regular"/>
        </w:rPr>
        <w:t>Property damage report or claim (67</w:t>
      </w:r>
      <w:r w:rsidRPr="00847FCE">
        <w:t xml:space="preserve">); </w:t>
      </w:r>
      <w:r w:rsidRPr="00847FCE">
        <w:rPr>
          <w:rFonts w:cs="PTCIWX+RobotoCondensed-Regular"/>
        </w:rPr>
        <w:t>Lost property report or claim (62)</w:t>
      </w:r>
      <w:r w:rsidRPr="00847FCE">
        <w:t xml:space="preserve">; </w:t>
      </w:r>
      <w:r w:rsidRPr="00847FCE">
        <w:rPr>
          <w:rFonts w:cs="PTCIWX+RobotoCondensed-Regular"/>
        </w:rPr>
        <w:t>Injury/loss (61)</w:t>
      </w:r>
      <w:r w:rsidRPr="00847FCE">
        <w:t xml:space="preserve">; </w:t>
      </w:r>
      <w:r w:rsidRPr="00847FCE">
        <w:rPr>
          <w:rFonts w:cs="PTCIWX+RobotoCondensed-Regular"/>
        </w:rPr>
        <w:t>Compensation (61); Accessibility - Staff (60) and Protective Services Officer (19)</w:t>
      </w:r>
      <w:r>
        <w:t>.</w:t>
      </w:r>
    </w:p>
    <w:p w14:paraId="07831951" w14:textId="77777777" w:rsidR="00BB5E52" w:rsidRPr="00BB5E52" w:rsidRDefault="00BB5E52" w:rsidP="009835A8">
      <w:pPr>
        <w:pStyle w:val="Heading2"/>
        <w:numPr>
          <w:ilvl w:val="0"/>
          <w:numId w:val="3"/>
        </w:numPr>
      </w:pPr>
      <w:r w:rsidRPr="00BB5E52">
        <w:t>Community experience</w:t>
      </w:r>
    </w:p>
    <w:p w14:paraId="2A09C2A9" w14:textId="1A69D622" w:rsidR="006B4695" w:rsidRDefault="00BB5E52" w:rsidP="00BB5E52">
      <w:r w:rsidRPr="00BB5E52">
        <w:t>Community experience includes the experiences of people living near tram, train or bus lines and those affected by works, such as the level crossing removals or the Melbourne Metro Tunnel project.</w:t>
      </w:r>
    </w:p>
    <w:p w14:paraId="21A53B9E" w14:textId="77777777" w:rsidR="00BB5E52" w:rsidRPr="00011B81" w:rsidRDefault="00BB5E52" w:rsidP="00BB5E52">
      <w:pPr>
        <w:pStyle w:val="Heading3"/>
      </w:pPr>
      <w:r>
        <w:t>Pie</w:t>
      </w:r>
      <w:r w:rsidRPr="00011B81">
        <w:t xml:space="preserve"> </w:t>
      </w:r>
      <w:r>
        <w:t>graph</w:t>
      </w:r>
      <w:r w:rsidRPr="00011B81">
        <w:t xml:space="preserve"> depict</w:t>
      </w:r>
      <w:r>
        <w:t>s</w:t>
      </w:r>
      <w:r w:rsidRPr="00011B81">
        <w:t xml:space="preserve"> the following:</w:t>
      </w:r>
    </w:p>
    <w:p w14:paraId="5AECDD36" w14:textId="4EB675AF" w:rsidR="00BB5E52" w:rsidRDefault="00BB5E52" w:rsidP="00BB5E52">
      <w:r w:rsidRPr="00847FCE">
        <w:t xml:space="preserve">There was a total of </w:t>
      </w:r>
      <w:r>
        <w:t>403</w:t>
      </w:r>
      <w:r w:rsidRPr="00847FCE">
        <w:t xml:space="preserve"> issues related to </w:t>
      </w:r>
      <w:r w:rsidR="00027EE3">
        <w:t>community experience</w:t>
      </w:r>
      <w:r>
        <w:t xml:space="preserve">, </w:t>
      </w:r>
      <w:r w:rsidRPr="00847FCE">
        <w:t xml:space="preserve">comprised of: </w:t>
      </w:r>
      <w:r w:rsidRPr="008963B4">
        <w:t xml:space="preserve">Major construction/Project (198); </w:t>
      </w:r>
      <w:r>
        <w:rPr>
          <w:rFonts w:cs="PTCIWX+RobotoCondensed-Regular"/>
        </w:rPr>
        <w:t>T</w:t>
      </w:r>
      <w:r w:rsidRPr="008963B4">
        <w:rPr>
          <w:rFonts w:cs="PTCIWX+RobotoCondensed-Regular"/>
        </w:rPr>
        <w:t>racks/Corridor/Depot/Sidings (141)</w:t>
      </w:r>
      <w:r w:rsidRPr="008963B4">
        <w:t xml:space="preserve"> and </w:t>
      </w:r>
      <w:r w:rsidRPr="008963B4">
        <w:rPr>
          <w:rFonts w:cs="PTCIWX+RobotoCondensed-Regular"/>
        </w:rPr>
        <w:t>Vehicles (64)</w:t>
      </w:r>
      <w:r w:rsidRPr="008963B4">
        <w:t>.</w:t>
      </w:r>
      <w:r>
        <w:t xml:space="preserve"> </w:t>
      </w:r>
    </w:p>
    <w:p w14:paraId="69489C68" w14:textId="77777777" w:rsidR="00BB5E52" w:rsidRPr="00BB5E52" w:rsidRDefault="00BB5E52" w:rsidP="00BB5E52"/>
    <w:p w14:paraId="7FD01746" w14:textId="77777777" w:rsidR="006F44B6" w:rsidRDefault="006F44B6">
      <w:pPr>
        <w:spacing w:before="0" w:beforeAutospacing="0" w:after="160" w:afterAutospacing="0" w:line="259" w:lineRule="auto"/>
        <w:rPr>
          <w:rFonts w:eastAsia="Roboto" w:cs="Roboto"/>
          <w:b/>
          <w:bCs/>
          <w:sz w:val="36"/>
          <w:szCs w:val="52"/>
          <w:lang w:eastAsia="en-AU" w:bidi="en-AU"/>
        </w:rPr>
      </w:pPr>
      <w:r>
        <w:br w:type="page"/>
      </w:r>
    </w:p>
    <w:p w14:paraId="11FC09F3" w14:textId="02A49AB7" w:rsidR="00514558" w:rsidRDefault="00514558" w:rsidP="00514558">
      <w:pPr>
        <w:pStyle w:val="Heading1"/>
      </w:pPr>
      <w:r>
        <w:lastRenderedPageBreak/>
        <w:t>Investigations</w:t>
      </w:r>
    </w:p>
    <w:p w14:paraId="1CF4F6A3" w14:textId="77777777" w:rsidR="00514558" w:rsidRDefault="00514558" w:rsidP="00514558">
      <w:r>
        <w:t>The PTO has a team of skilled and impartial Conciliators to help consumers and members reach agreement and resolve disputes. We do this by conducting investigations into the cause and handling of complaints, while guiding the parties through a confidential process designed to address outstanding issues and focus on a fair outcome.</w:t>
      </w:r>
    </w:p>
    <w:p w14:paraId="7CA67AB7" w14:textId="77777777" w:rsidR="00514558" w:rsidRDefault="00514558" w:rsidP="00514558">
      <w:r>
        <w:t>If there is no agreement, we may assess the case formally and look at whether the resolution offered by the member is fair. We also have the power to make a binding determination on unresolved matters if we do not think the offer of resolution goes far enough.</w:t>
      </w:r>
    </w:p>
    <w:p w14:paraId="4202BCE8" w14:textId="77777777" w:rsidR="00514558" w:rsidRDefault="00514558" w:rsidP="00514558">
      <w:pPr>
        <w:pStyle w:val="Heading2"/>
        <w:rPr>
          <w:spacing w:val="4"/>
        </w:rPr>
      </w:pPr>
      <w:r>
        <w:t>Complaint causes</w:t>
      </w:r>
    </w:p>
    <w:p w14:paraId="7E15EC97" w14:textId="77777777" w:rsidR="00514558" w:rsidRDefault="00514558" w:rsidP="00514558">
      <w:pPr>
        <w:rPr>
          <w:spacing w:val="4"/>
        </w:rPr>
      </w:pPr>
      <w:r>
        <w:rPr>
          <w:spacing w:val="4"/>
        </w:rPr>
        <w:t xml:space="preserve">The way members’ staff interact with consumers seeking information, assistance or providing feedback is often part of an unresolved dispute. Consumer concerns about staff were the most common type of issue within investigations. Of the 702 staff issues recorded within our investigations, 569 related to the way customer relations and contact centre staff handled complaints or provided customer service. </w:t>
      </w:r>
    </w:p>
    <w:p w14:paraId="2A2254AB" w14:textId="77777777" w:rsidR="00514558" w:rsidRDefault="00514558" w:rsidP="00514558">
      <w:pPr>
        <w:rPr>
          <w:spacing w:val="4"/>
        </w:rPr>
      </w:pPr>
      <w:r>
        <w:rPr>
          <w:spacing w:val="4"/>
        </w:rPr>
        <w:t xml:space="preserve">As discussed in our Customer Experience Bulletin (see </w:t>
      </w:r>
      <w:r>
        <w:rPr>
          <w:spacing w:val="4"/>
          <w:u w:val="thick"/>
        </w:rPr>
        <w:t>page 12</w:t>
      </w:r>
      <w:r>
        <w:rPr>
          <w:spacing w:val="4"/>
        </w:rPr>
        <w:t xml:space="preserve">) during the year, drivers feature significantly, and bus drivers more often than tram and train drivers. Bus and coach drivers deal with other road users, changing road conditions, passenger queries and ticketing sales. Tram and train drivers have a more specialised role with a different level of interaction with customers. Bus and coach driver conduct made up 52 of the 87 driver issues within investigations; concerns included dangerous driving and failure to pick up or set down passengers. </w:t>
      </w:r>
    </w:p>
    <w:p w14:paraId="0216E8AF" w14:textId="77777777" w:rsidR="00514558" w:rsidRDefault="00514558" w:rsidP="00514558">
      <w:pPr>
        <w:rPr>
          <w:spacing w:val="4"/>
        </w:rPr>
      </w:pPr>
      <w:r>
        <w:rPr>
          <w:spacing w:val="4"/>
        </w:rPr>
        <w:t xml:space="preserve">Issues with service delivery drove a significant number of investigations. Consumers sought investigation of a range of issues such as reliability (52), disruption management (40), cancelled services (35) and how replacement services are provided (30). </w:t>
      </w:r>
    </w:p>
    <w:p w14:paraId="43E93CC5" w14:textId="77777777" w:rsidR="00514558" w:rsidRDefault="00514558" w:rsidP="00514558">
      <w:pPr>
        <w:rPr>
          <w:spacing w:val="4"/>
        </w:rPr>
      </w:pPr>
      <w:r>
        <w:rPr>
          <w:spacing w:val="4"/>
        </w:rPr>
        <w:t>Ticketing issues (341) continue as a cause of unresolved complaints requiring investigation and conciliation, including refund/reimbursement issues (130), myki top-up (63), balance transfers (24) and myki replacement (20).</w:t>
      </w:r>
    </w:p>
    <w:p w14:paraId="65CD1813" w14:textId="77777777" w:rsidR="00514558" w:rsidRDefault="00514558" w:rsidP="00514558">
      <w:pPr>
        <w:pStyle w:val="Heading2"/>
        <w:rPr>
          <w:spacing w:val="4"/>
        </w:rPr>
      </w:pPr>
      <w:r>
        <w:t>Accessibility</w:t>
      </w:r>
    </w:p>
    <w:p w14:paraId="08217ED3" w14:textId="390D728C" w:rsidR="00514558" w:rsidRDefault="00514558" w:rsidP="00514558">
      <w:pPr>
        <w:rPr>
          <w:spacing w:val="4"/>
        </w:rPr>
      </w:pPr>
      <w:r>
        <w:rPr>
          <w:spacing w:val="4"/>
        </w:rPr>
        <w:t>In 2018/</w:t>
      </w:r>
      <w:r w:rsidR="004A08C9">
        <w:rPr>
          <w:spacing w:val="4"/>
        </w:rPr>
        <w:t>1</w:t>
      </w:r>
      <w:r>
        <w:rPr>
          <w:spacing w:val="4"/>
        </w:rPr>
        <w:t xml:space="preserve">9 we changed the way we record issues about accessibility to make them more visible in our data. Issues about barriers to access or unsatisfactory treatment of consumers with special needs require special focus during investigations. We consider the data not only in terms of resolving individual complaints but to inform our work with members on improving the system (see systemics section </w:t>
      </w:r>
      <w:r>
        <w:rPr>
          <w:spacing w:val="4"/>
          <w:u w:val="thick"/>
        </w:rPr>
        <w:t>page 16</w:t>
      </w:r>
      <w:r>
        <w:rPr>
          <w:spacing w:val="4"/>
        </w:rPr>
        <w:t>).</w:t>
      </w:r>
      <w:r>
        <w:rPr>
          <w:color w:val="F4436C"/>
          <w:spacing w:val="4"/>
        </w:rPr>
        <w:t xml:space="preserve"> </w:t>
      </w:r>
      <w:r>
        <w:rPr>
          <w:spacing w:val="4"/>
        </w:rPr>
        <w:t xml:space="preserve">We investigated 17 complaints with </w:t>
      </w:r>
      <w:r>
        <w:rPr>
          <w:spacing w:val="4"/>
        </w:rPr>
        <w:br/>
        <w:t xml:space="preserve">36 issues about access – these included 14 staff issues, 6 about trams, trains or buses, 5 about compliance with the Disability Standards for Accessible Transport and 4 about stations, stairs and escalator/lift/ramp access. </w:t>
      </w:r>
    </w:p>
    <w:p w14:paraId="080B2A0A" w14:textId="77777777" w:rsidR="00514558" w:rsidRDefault="00514558" w:rsidP="00514558">
      <w:pPr>
        <w:pStyle w:val="Heading2"/>
        <w:rPr>
          <w:spacing w:val="4"/>
        </w:rPr>
      </w:pPr>
      <w:r>
        <w:t>Outcomes</w:t>
      </w:r>
    </w:p>
    <w:p w14:paraId="2F587CC1" w14:textId="53F02F6A" w:rsidR="00514558" w:rsidRDefault="00514558" w:rsidP="00514558">
      <w:pPr>
        <w:rPr>
          <w:spacing w:val="4"/>
        </w:rPr>
      </w:pPr>
      <w:r>
        <w:rPr>
          <w:spacing w:val="4"/>
        </w:rPr>
        <w:t>In 2018/</w:t>
      </w:r>
      <w:r w:rsidR="004A08C9">
        <w:rPr>
          <w:spacing w:val="4"/>
        </w:rPr>
        <w:t>1</w:t>
      </w:r>
      <w:r>
        <w:rPr>
          <w:spacing w:val="4"/>
        </w:rPr>
        <w:t xml:space="preserve">9 we finalised 603 investigations. Of these, 86% were based on agreement between the parties. 91% of these cases were finalised within 90 days. </w:t>
      </w:r>
    </w:p>
    <w:p w14:paraId="4652DB72" w14:textId="1B9363BC" w:rsidR="009F64AD" w:rsidRDefault="00514558" w:rsidP="00514558">
      <w:pPr>
        <w:rPr>
          <w:spacing w:val="4"/>
        </w:rPr>
      </w:pPr>
      <w:r>
        <w:rPr>
          <w:spacing w:val="4"/>
        </w:rPr>
        <w:t xml:space="preserve">Resolutions involving financial redress, including refunds/reimbursements, offers of settlement or goodwill payments </w:t>
      </w:r>
      <w:r w:rsidR="004A08C9">
        <w:rPr>
          <w:spacing w:val="4"/>
        </w:rPr>
        <w:t>totalled</w:t>
      </w:r>
      <w:r>
        <w:rPr>
          <w:spacing w:val="4"/>
        </w:rPr>
        <w:t xml:space="preserve"> $32,520. Other outcomes included detailed explanations, apologies, training and counselling of staff and changes in process. </w:t>
      </w:r>
    </w:p>
    <w:p w14:paraId="17A5CB2B" w14:textId="77777777" w:rsidR="00794869" w:rsidRDefault="009F64AD" w:rsidP="009F64AD">
      <w:pPr>
        <w:pStyle w:val="Heading2"/>
      </w:pPr>
      <w:r>
        <w:lastRenderedPageBreak/>
        <w:t>Table shows</w:t>
      </w:r>
      <w:r w:rsidR="00794869">
        <w:t xml:space="preserve"> case numbers by Scheme member</w:t>
      </w:r>
      <w:r w:rsidR="00794869">
        <w:tab/>
      </w:r>
    </w:p>
    <w:p w14:paraId="29B2507D" w14:textId="5FC7331E" w:rsidR="00794869" w:rsidRPr="00794869" w:rsidRDefault="00794869" w:rsidP="009835A8">
      <w:pPr>
        <w:pStyle w:val="ListParagraph"/>
        <w:numPr>
          <w:ilvl w:val="0"/>
          <w:numId w:val="4"/>
        </w:numPr>
      </w:pPr>
      <w:r w:rsidRPr="00794869">
        <w:t>Public Transport Victoria</w:t>
      </w:r>
      <w:r w:rsidR="00CD4A8B">
        <w:t xml:space="preserve">: </w:t>
      </w:r>
      <w:r w:rsidRPr="00794869">
        <w:t>230</w:t>
      </w:r>
      <w:r>
        <w:t xml:space="preserve"> cases</w:t>
      </w:r>
    </w:p>
    <w:p w14:paraId="38C68302" w14:textId="1214A1DA" w:rsidR="00794869" w:rsidRPr="00794869" w:rsidRDefault="00794869" w:rsidP="009835A8">
      <w:pPr>
        <w:pStyle w:val="ListParagraph"/>
        <w:numPr>
          <w:ilvl w:val="0"/>
          <w:numId w:val="4"/>
        </w:numPr>
      </w:pPr>
      <w:r w:rsidRPr="00794869">
        <w:t>Metro Trains</w:t>
      </w:r>
      <w:r>
        <w:t xml:space="preserve">: </w:t>
      </w:r>
      <w:r w:rsidRPr="00794869">
        <w:t>96</w:t>
      </w:r>
      <w:r>
        <w:t xml:space="preserve"> cases</w:t>
      </w:r>
    </w:p>
    <w:p w14:paraId="329CB506" w14:textId="103F9246" w:rsidR="00794869" w:rsidRPr="00794869" w:rsidRDefault="00794869" w:rsidP="009835A8">
      <w:pPr>
        <w:pStyle w:val="ListParagraph"/>
        <w:numPr>
          <w:ilvl w:val="0"/>
          <w:numId w:val="4"/>
        </w:numPr>
      </w:pPr>
      <w:r w:rsidRPr="00794869">
        <w:t>V/Line</w:t>
      </w:r>
      <w:r>
        <w:t xml:space="preserve">: </w:t>
      </w:r>
      <w:r w:rsidRPr="00794869">
        <w:t>77</w:t>
      </w:r>
      <w:r>
        <w:t xml:space="preserve"> cases</w:t>
      </w:r>
    </w:p>
    <w:p w14:paraId="40D98417" w14:textId="5FFE3ACF" w:rsidR="00794869" w:rsidRPr="00794869" w:rsidRDefault="00794869" w:rsidP="009835A8">
      <w:pPr>
        <w:pStyle w:val="ListParagraph"/>
        <w:numPr>
          <w:ilvl w:val="0"/>
          <w:numId w:val="4"/>
        </w:numPr>
      </w:pPr>
      <w:proofErr w:type="spellStart"/>
      <w:r w:rsidRPr="00794869">
        <w:t>Bus</w:t>
      </w:r>
      <w:r w:rsidR="004A08C9">
        <w:t>V</w:t>
      </w:r>
      <w:r w:rsidRPr="00794869">
        <w:t>ic</w:t>
      </w:r>
      <w:proofErr w:type="spellEnd"/>
      <w:r w:rsidRPr="00794869">
        <w:t xml:space="preserve">, includes Broadmeadows Bus Service, CDC, Dysons, </w:t>
      </w:r>
      <w:r w:rsidRPr="00794869">
        <w:br/>
        <w:t xml:space="preserve">Latrobe Valley Bus Lines, </w:t>
      </w:r>
      <w:proofErr w:type="spellStart"/>
      <w:r w:rsidRPr="00794869">
        <w:t>McHarry’s</w:t>
      </w:r>
      <w:proofErr w:type="spellEnd"/>
      <w:r w:rsidRPr="00794869">
        <w:t>, Moonee Valley Bus Lines, Sita Bus Lines, Ventur</w:t>
      </w:r>
      <w:r>
        <w:t xml:space="preserve">a Bus Lines: </w:t>
      </w:r>
      <w:r w:rsidRPr="00794869">
        <w:t xml:space="preserve">59 </w:t>
      </w:r>
      <w:r>
        <w:t>cases</w:t>
      </w:r>
    </w:p>
    <w:p w14:paraId="73AD492F" w14:textId="1313360C" w:rsidR="00794869" w:rsidRPr="00794869" w:rsidRDefault="00794869" w:rsidP="009835A8">
      <w:pPr>
        <w:pStyle w:val="ListParagraph"/>
        <w:numPr>
          <w:ilvl w:val="0"/>
          <w:numId w:val="4"/>
        </w:numPr>
      </w:pPr>
      <w:r w:rsidRPr="00794869">
        <w:t>Yarra Trams</w:t>
      </w:r>
      <w:r>
        <w:t xml:space="preserve">: </w:t>
      </w:r>
      <w:r w:rsidRPr="00794869">
        <w:t xml:space="preserve">43 </w:t>
      </w:r>
      <w:r>
        <w:t>cases</w:t>
      </w:r>
    </w:p>
    <w:p w14:paraId="59DD8051" w14:textId="6D6A5BD5" w:rsidR="00794869" w:rsidRPr="00794869" w:rsidRDefault="00794869" w:rsidP="009835A8">
      <w:pPr>
        <w:pStyle w:val="ListParagraph"/>
        <w:numPr>
          <w:ilvl w:val="0"/>
          <w:numId w:val="4"/>
        </w:numPr>
      </w:pPr>
      <w:r w:rsidRPr="00794869">
        <w:t>Transdev</w:t>
      </w:r>
      <w:r>
        <w:t xml:space="preserve">: </w:t>
      </w:r>
      <w:r w:rsidRPr="00794869">
        <w:t xml:space="preserve">33 </w:t>
      </w:r>
      <w:r>
        <w:t>cases</w:t>
      </w:r>
    </w:p>
    <w:p w14:paraId="2190812A" w14:textId="630D301E" w:rsidR="00794869" w:rsidRPr="00794869" w:rsidRDefault="00794869" w:rsidP="009835A8">
      <w:pPr>
        <w:pStyle w:val="ListParagraph"/>
        <w:numPr>
          <w:ilvl w:val="0"/>
          <w:numId w:val="4"/>
        </w:numPr>
      </w:pPr>
      <w:r w:rsidRPr="00794869">
        <w:t>Level Crossing Removal Project</w:t>
      </w:r>
      <w:r>
        <w:t xml:space="preserve">: </w:t>
      </w:r>
      <w:r w:rsidRPr="00794869">
        <w:t xml:space="preserve">32 </w:t>
      </w:r>
      <w:r>
        <w:t>cases</w:t>
      </w:r>
    </w:p>
    <w:p w14:paraId="3FB7E4A6" w14:textId="0BFBCCDD" w:rsidR="00794869" w:rsidRPr="00794869" w:rsidRDefault="00794869" w:rsidP="009835A8">
      <w:pPr>
        <w:pStyle w:val="ListParagraph"/>
        <w:numPr>
          <w:ilvl w:val="0"/>
          <w:numId w:val="4"/>
        </w:numPr>
      </w:pPr>
      <w:proofErr w:type="spellStart"/>
      <w:r w:rsidRPr="00794869">
        <w:t>SkyBus</w:t>
      </w:r>
      <w:proofErr w:type="spellEnd"/>
      <w:r>
        <w:t xml:space="preserve">: </w:t>
      </w:r>
      <w:r w:rsidRPr="00794869">
        <w:t xml:space="preserve">4 </w:t>
      </w:r>
      <w:r>
        <w:t>cases</w:t>
      </w:r>
    </w:p>
    <w:p w14:paraId="0CCB9D95" w14:textId="3ECB37EB" w:rsidR="00794869" w:rsidRPr="00794869" w:rsidRDefault="00794869" w:rsidP="009835A8">
      <w:pPr>
        <w:pStyle w:val="ListParagraph"/>
        <w:numPr>
          <w:ilvl w:val="0"/>
          <w:numId w:val="4"/>
        </w:numPr>
      </w:pPr>
      <w:r w:rsidRPr="00794869">
        <w:t>Rail Projects Victoria</w:t>
      </w:r>
      <w:r>
        <w:t xml:space="preserve">: </w:t>
      </w:r>
      <w:r w:rsidRPr="00794869">
        <w:t xml:space="preserve">3 </w:t>
      </w:r>
      <w:r>
        <w:t>cases</w:t>
      </w:r>
    </w:p>
    <w:p w14:paraId="7A691878" w14:textId="5271CD98" w:rsidR="00794869" w:rsidRPr="00794869" w:rsidRDefault="00794869" w:rsidP="009835A8">
      <w:pPr>
        <w:pStyle w:val="ListParagraph"/>
        <w:numPr>
          <w:ilvl w:val="0"/>
          <w:numId w:val="4"/>
        </w:numPr>
      </w:pPr>
      <w:proofErr w:type="spellStart"/>
      <w:r w:rsidRPr="00794869">
        <w:t>Vic</w:t>
      </w:r>
      <w:r w:rsidR="004A08C9">
        <w:t>T</w:t>
      </w:r>
      <w:r w:rsidRPr="00794869">
        <w:t>rack</w:t>
      </w:r>
      <w:proofErr w:type="spellEnd"/>
      <w:r>
        <w:t xml:space="preserve">: </w:t>
      </w:r>
      <w:r w:rsidRPr="00794869">
        <w:t xml:space="preserve">2 </w:t>
      </w:r>
      <w:r>
        <w:t>cases</w:t>
      </w:r>
    </w:p>
    <w:p w14:paraId="2CDCAE67" w14:textId="4DB9D698" w:rsidR="00794869" w:rsidRPr="00794869" w:rsidRDefault="00794869" w:rsidP="009835A8">
      <w:pPr>
        <w:pStyle w:val="ListParagraph"/>
        <w:numPr>
          <w:ilvl w:val="0"/>
          <w:numId w:val="4"/>
        </w:numPr>
      </w:pPr>
      <w:r w:rsidRPr="00794869">
        <w:t>Southern Cross Station</w:t>
      </w:r>
      <w:r>
        <w:t xml:space="preserve">: </w:t>
      </w:r>
      <w:r w:rsidRPr="00794869">
        <w:t xml:space="preserve">0 </w:t>
      </w:r>
      <w:r>
        <w:t>cases</w:t>
      </w:r>
    </w:p>
    <w:p w14:paraId="5DABE823" w14:textId="77777777" w:rsidR="001043BD" w:rsidRPr="001043BD" w:rsidRDefault="001043BD" w:rsidP="001043BD">
      <w:pPr>
        <w:pStyle w:val="Heading2"/>
      </w:pPr>
      <w:r w:rsidRPr="001043BD">
        <w:t>Case Study</w:t>
      </w:r>
    </w:p>
    <w:p w14:paraId="51B240CB" w14:textId="77777777" w:rsidR="001043BD" w:rsidRPr="001043BD" w:rsidRDefault="001043BD" w:rsidP="001043BD">
      <w:r w:rsidRPr="001043BD">
        <w:t xml:space="preserve">Cass was travelling on a myki for almost two years before she and her sister realised that the staff at her local train station had given her an incorrect myki. Cass was in receipt of a disability support pension for an intellectual disability and should have been travelling on a Disability Support Pension (DSP) myki. Instead she had been given a child myki. </w:t>
      </w:r>
    </w:p>
    <w:p w14:paraId="3E6C9D90" w14:textId="77777777" w:rsidR="001043BD" w:rsidRPr="001043BD" w:rsidRDefault="001043BD" w:rsidP="001043BD">
      <w:r w:rsidRPr="001043BD">
        <w:t>Station staff are able to sell a DSP myki to members of the public and will ask to see a concession entitlement issued by Centrelink. On a DSP myki, passengers receive discounted full fares, free weekend travel and 2-4 free travel vouchers each year. Because she had the wrong myki, Cass had missed out on the free weekend travel and the free travel vouchers.</w:t>
      </w:r>
    </w:p>
    <w:p w14:paraId="67E573C7" w14:textId="77777777" w:rsidR="001043BD" w:rsidRPr="001043BD" w:rsidRDefault="001043BD" w:rsidP="001043BD">
      <w:r w:rsidRPr="001043BD">
        <w:t xml:space="preserve">The PTO received a complaint from </w:t>
      </w:r>
      <w:proofErr w:type="spellStart"/>
      <w:r w:rsidRPr="001043BD">
        <w:t>Cass’</w:t>
      </w:r>
      <w:proofErr w:type="spellEnd"/>
      <w:r w:rsidRPr="001043BD">
        <w:t xml:space="preserve"> sister after she was given confusing advice from the PTV Contact Centre. The Contact Centre had also declined her request to reimburse Cass for her weekend travel costs on the child myki. </w:t>
      </w:r>
    </w:p>
    <w:p w14:paraId="68978AA8" w14:textId="77777777" w:rsidR="001043BD" w:rsidRPr="001043BD" w:rsidRDefault="001043BD" w:rsidP="001043BD">
      <w:r w:rsidRPr="001043BD">
        <w:t>The PTO contacted PTV and investigated to understand the extra costs Cass had incurred, and the entitlements she had missed out on, while travelling on the incorrect myki.</w:t>
      </w:r>
    </w:p>
    <w:p w14:paraId="18AF486B" w14:textId="77777777" w:rsidR="001043BD" w:rsidRPr="001043BD" w:rsidRDefault="001043BD" w:rsidP="001043BD">
      <w:r w:rsidRPr="001043BD">
        <w:t>PTV apologised to Cass and her sister for their experience. In addition to the free travel vouchers which Cass had not received, PTV offered Cass a goodwill payment in recognition of the Contact Centre’s handling of her complaint, and reimbursement for the weekend travel charges.</w:t>
      </w:r>
    </w:p>
    <w:p w14:paraId="030ED4A9" w14:textId="29EC8E66" w:rsidR="005A413F" w:rsidRDefault="001043BD" w:rsidP="001043BD">
      <w:r w:rsidRPr="001043BD">
        <w:t xml:space="preserve">We worked with PTV to analyse </w:t>
      </w:r>
      <w:proofErr w:type="spellStart"/>
      <w:r w:rsidRPr="001043BD">
        <w:t>Cass’</w:t>
      </w:r>
      <w:proofErr w:type="spellEnd"/>
      <w:r w:rsidRPr="001043BD">
        <w:t xml:space="preserve"> myki travel history to ensure the amount offered was fair. When we found that further reimbursement was owed to Cass, we asked PTV to revise their offer. Cass and her sister were happy with the </w:t>
      </w:r>
      <w:proofErr w:type="gramStart"/>
      <w:r w:rsidRPr="001043BD">
        <w:t>outcome, and</w:t>
      </w:r>
      <w:proofErr w:type="gramEnd"/>
      <w:r w:rsidRPr="001043BD">
        <w:t xml:space="preserve"> asked that PTV credit the payments to </w:t>
      </w:r>
      <w:proofErr w:type="spellStart"/>
      <w:r w:rsidRPr="001043BD">
        <w:t>Cass’</w:t>
      </w:r>
      <w:proofErr w:type="spellEnd"/>
      <w:r w:rsidRPr="001043BD">
        <w:t xml:space="preserve"> new DSP myki.</w:t>
      </w:r>
      <w:r>
        <w:t xml:space="preserve"> </w:t>
      </w:r>
    </w:p>
    <w:p w14:paraId="731FBA5A" w14:textId="2CD4493E" w:rsidR="00381033" w:rsidRDefault="00381033" w:rsidP="00381033">
      <w:pPr>
        <w:pStyle w:val="Heading2"/>
      </w:pPr>
      <w:r>
        <w:t xml:space="preserve">Callout shows: </w:t>
      </w:r>
    </w:p>
    <w:p w14:paraId="670AABE8" w14:textId="4C69A720" w:rsidR="00381033" w:rsidRPr="00381033" w:rsidRDefault="00381033" w:rsidP="009835A8">
      <w:pPr>
        <w:pStyle w:val="ListParagraph"/>
        <w:numPr>
          <w:ilvl w:val="0"/>
          <w:numId w:val="30"/>
        </w:numPr>
      </w:pPr>
      <w:r>
        <w:t>579 Investigations commenced</w:t>
      </w:r>
    </w:p>
    <w:p w14:paraId="241EA6C3" w14:textId="77777777" w:rsidR="005A413F" w:rsidRDefault="005A413F">
      <w:pPr>
        <w:spacing w:before="0" w:beforeAutospacing="0" w:after="160" w:afterAutospacing="0" w:line="259" w:lineRule="auto"/>
      </w:pPr>
      <w:r>
        <w:br w:type="page"/>
      </w:r>
    </w:p>
    <w:p w14:paraId="2CAA6B56" w14:textId="77777777" w:rsidR="005A413F" w:rsidRDefault="005A413F" w:rsidP="005A413F">
      <w:pPr>
        <w:pStyle w:val="Heading1"/>
      </w:pPr>
      <w:r>
        <w:lastRenderedPageBreak/>
        <w:t>Systemic Issues</w:t>
      </w:r>
    </w:p>
    <w:p w14:paraId="5389D816" w14:textId="77777777" w:rsidR="005A413F" w:rsidRDefault="005A413F" w:rsidP="005A413F">
      <w:pPr>
        <w:rPr>
          <w:rStyle w:val="white"/>
          <w:color w:val="000000"/>
        </w:rPr>
      </w:pPr>
      <w:r>
        <w:rPr>
          <w:rStyle w:val="white"/>
          <w:color w:val="000000"/>
        </w:rPr>
        <w:t>When the PTO identifies issues that have the potential to impact a large number of consumers, these may be raised with a member as a systemic issue. Issues come to our attention in various ways including approaches to our office and conversations with stakeholders during outreach activities. Our process for handling systemic issues involves initially classifying the matter into one of four categories:</w:t>
      </w:r>
    </w:p>
    <w:p w14:paraId="4F80CC1E" w14:textId="3E674A14" w:rsidR="005A413F" w:rsidRPr="004A08C9" w:rsidRDefault="005A413F" w:rsidP="004A08C9">
      <w:pPr>
        <w:pStyle w:val="Heading3"/>
        <w:numPr>
          <w:ilvl w:val="0"/>
          <w:numId w:val="35"/>
        </w:numPr>
      </w:pPr>
      <w:r w:rsidRPr="004A08C9">
        <w:t xml:space="preserve">Improvement Opportunity </w:t>
      </w:r>
    </w:p>
    <w:p w14:paraId="65AAAF07" w14:textId="6666462A" w:rsidR="005A413F" w:rsidRDefault="005A413F" w:rsidP="005A413F">
      <w:r>
        <w:rPr>
          <w:rStyle w:val="white"/>
          <w:color w:val="000000"/>
        </w:rPr>
        <w:t>An informal process used to highlight a specific situation to an operator who may want to improve a current set of practices.</w:t>
      </w:r>
      <w:r>
        <w:t xml:space="preserve"> </w:t>
      </w:r>
    </w:p>
    <w:p w14:paraId="60F9E7B2" w14:textId="77777777" w:rsidR="005A413F" w:rsidRPr="005A413F" w:rsidRDefault="005A413F" w:rsidP="004A08C9">
      <w:pPr>
        <w:pStyle w:val="Heading3"/>
        <w:numPr>
          <w:ilvl w:val="0"/>
          <w:numId w:val="35"/>
        </w:numPr>
      </w:pPr>
      <w:r w:rsidRPr="005A413F">
        <w:t xml:space="preserve">Systemic Enquiry </w:t>
      </w:r>
    </w:p>
    <w:p w14:paraId="7C9E94E4" w14:textId="2A1BB16D" w:rsidR="005A413F" w:rsidRPr="005A413F" w:rsidRDefault="005A413F" w:rsidP="005A413F">
      <w:r w:rsidRPr="005A413F">
        <w:t>A more formal process which involves using the information from the members to decide whether the issue has the potential to cause widespread or repeated detriment.</w:t>
      </w:r>
    </w:p>
    <w:p w14:paraId="00018A6D" w14:textId="77777777" w:rsidR="005A413F" w:rsidRPr="005A413F" w:rsidRDefault="005A413F" w:rsidP="004A08C9">
      <w:pPr>
        <w:pStyle w:val="Heading3"/>
        <w:numPr>
          <w:ilvl w:val="0"/>
          <w:numId w:val="35"/>
        </w:numPr>
      </w:pPr>
      <w:r w:rsidRPr="005A413F">
        <w:t xml:space="preserve">Systemic Investigation </w:t>
      </w:r>
    </w:p>
    <w:p w14:paraId="03726A9C" w14:textId="758DAD62" w:rsidR="005A413F" w:rsidRPr="005A413F" w:rsidRDefault="005A413F" w:rsidP="005A413F">
      <w:r w:rsidRPr="005A413F">
        <w:t>A formal process involving a thorough analysis of complaint data, operator records and the operator’s response to understand the scale of an issue and means of stemming detriment and providing redress.</w:t>
      </w:r>
    </w:p>
    <w:p w14:paraId="1952C9A1" w14:textId="77777777" w:rsidR="005A413F" w:rsidRPr="005A413F" w:rsidRDefault="005A413F" w:rsidP="004A08C9">
      <w:pPr>
        <w:pStyle w:val="Heading3"/>
        <w:numPr>
          <w:ilvl w:val="0"/>
          <w:numId w:val="35"/>
        </w:numPr>
      </w:pPr>
      <w:r w:rsidRPr="005A413F">
        <w:t>Issues of Ongoing Interest</w:t>
      </w:r>
    </w:p>
    <w:p w14:paraId="57418BCD" w14:textId="180DD7D8" w:rsidR="005A413F" w:rsidRPr="005A413F" w:rsidRDefault="005A413F" w:rsidP="005A413F">
      <w:r w:rsidRPr="005A413F">
        <w:t>We monitor various sources of information for a period of time to understand the extent or impact of an issue and its nature.</w:t>
      </w:r>
    </w:p>
    <w:p w14:paraId="6A6E3400" w14:textId="77777777" w:rsidR="00E108B0" w:rsidRPr="00E108B0" w:rsidRDefault="00E108B0" w:rsidP="00E108B0">
      <w:pPr>
        <w:pStyle w:val="Heading2"/>
      </w:pPr>
      <w:r w:rsidRPr="00E108B0">
        <w:t>Here are the systemic issues that we have recorded over the past year:</w:t>
      </w:r>
    </w:p>
    <w:p w14:paraId="20CDDDC3" w14:textId="77777777" w:rsidR="00E108B0" w:rsidRPr="00E108B0" w:rsidRDefault="00E108B0" w:rsidP="00E108B0">
      <w:pPr>
        <w:pStyle w:val="Heading3"/>
      </w:pPr>
      <w:r w:rsidRPr="00E108B0">
        <w:t>Improvement Opportunities:</w:t>
      </w:r>
    </w:p>
    <w:p w14:paraId="14C13BB0" w14:textId="77777777" w:rsidR="00E108B0" w:rsidRPr="00E108B0" w:rsidRDefault="00E108B0" w:rsidP="009835A8">
      <w:pPr>
        <w:pStyle w:val="ListParagraph"/>
        <w:numPr>
          <w:ilvl w:val="0"/>
          <w:numId w:val="5"/>
        </w:numPr>
      </w:pPr>
      <w:r w:rsidRPr="00E108B0">
        <w:t>Disability access to lifts at Clayton station</w:t>
      </w:r>
    </w:p>
    <w:p w14:paraId="541B8B1B" w14:textId="77777777" w:rsidR="00E108B0" w:rsidRPr="00E108B0" w:rsidRDefault="00E108B0" w:rsidP="009835A8">
      <w:pPr>
        <w:pStyle w:val="ListParagraph"/>
        <w:numPr>
          <w:ilvl w:val="0"/>
          <w:numId w:val="5"/>
        </w:numPr>
      </w:pPr>
      <w:r w:rsidRPr="00E108B0">
        <w:t>No tactile indicators at Moreland Station for vision impaired passengers</w:t>
      </w:r>
    </w:p>
    <w:p w14:paraId="3FB45F2E" w14:textId="77777777" w:rsidR="00E108B0" w:rsidRPr="00E108B0" w:rsidRDefault="00E108B0" w:rsidP="009835A8">
      <w:pPr>
        <w:pStyle w:val="ListParagraph"/>
        <w:numPr>
          <w:ilvl w:val="0"/>
          <w:numId w:val="5"/>
        </w:numPr>
      </w:pPr>
      <w:r w:rsidRPr="00E108B0">
        <w:t>Information on PTV website about free public transport for myki pass holders on Cranbourne/Pakenham line during Dec 2018</w:t>
      </w:r>
    </w:p>
    <w:p w14:paraId="05B42F6C" w14:textId="77777777" w:rsidR="00E108B0" w:rsidRPr="00E108B0" w:rsidRDefault="00E108B0" w:rsidP="009835A8">
      <w:pPr>
        <w:pStyle w:val="ListParagraph"/>
        <w:numPr>
          <w:ilvl w:val="0"/>
          <w:numId w:val="5"/>
        </w:numPr>
      </w:pPr>
      <w:r w:rsidRPr="00E108B0">
        <w:t xml:space="preserve">Lost property policy – consistent with industry practice </w:t>
      </w:r>
    </w:p>
    <w:p w14:paraId="6C8BEF30" w14:textId="77777777" w:rsidR="00E108B0" w:rsidRPr="00E108B0" w:rsidRDefault="00E108B0" w:rsidP="009835A8">
      <w:pPr>
        <w:pStyle w:val="ListParagraph"/>
        <w:numPr>
          <w:ilvl w:val="0"/>
          <w:numId w:val="5"/>
        </w:numPr>
      </w:pPr>
      <w:r w:rsidRPr="00E108B0">
        <w:t>Complaint handling process for serious/safety related complaints</w:t>
      </w:r>
    </w:p>
    <w:p w14:paraId="4F64040A" w14:textId="77777777" w:rsidR="00E108B0" w:rsidRPr="00E108B0" w:rsidRDefault="00E108B0" w:rsidP="00E108B0">
      <w:pPr>
        <w:pStyle w:val="Heading3"/>
      </w:pPr>
      <w:r w:rsidRPr="00E108B0">
        <w:t>Systemic Enquiries:</w:t>
      </w:r>
    </w:p>
    <w:p w14:paraId="4AFBDA5C" w14:textId="77777777" w:rsidR="00E108B0" w:rsidRPr="00E108B0" w:rsidRDefault="00E108B0" w:rsidP="009835A8">
      <w:pPr>
        <w:pStyle w:val="ListParagraph"/>
        <w:numPr>
          <w:ilvl w:val="0"/>
          <w:numId w:val="6"/>
        </w:numPr>
      </w:pPr>
      <w:r w:rsidRPr="00E108B0">
        <w:t>Information on PTV website about reimbursement criteria for medical grounds</w:t>
      </w:r>
    </w:p>
    <w:p w14:paraId="3AF4D663" w14:textId="77777777" w:rsidR="00E108B0" w:rsidRPr="00E108B0" w:rsidRDefault="00E108B0" w:rsidP="009835A8">
      <w:pPr>
        <w:pStyle w:val="ListParagraph"/>
        <w:numPr>
          <w:ilvl w:val="0"/>
          <w:numId w:val="6"/>
        </w:numPr>
      </w:pPr>
      <w:r w:rsidRPr="00E108B0">
        <w:t>Notification to other train lines/modes of transport about disruptions on another train line</w:t>
      </w:r>
    </w:p>
    <w:p w14:paraId="5DD15B12" w14:textId="77777777" w:rsidR="00E108B0" w:rsidRPr="00E108B0" w:rsidRDefault="00E108B0" w:rsidP="009835A8">
      <w:pPr>
        <w:pStyle w:val="ListParagraph"/>
        <w:numPr>
          <w:ilvl w:val="0"/>
          <w:numId w:val="6"/>
        </w:numPr>
      </w:pPr>
      <w:r w:rsidRPr="00E108B0">
        <w:t>Issues arising out of the Travel Assistance Program to assist students in the City of Wyndham: myki issues around account setup, cheque payment and multi credit card issues</w:t>
      </w:r>
    </w:p>
    <w:p w14:paraId="439FA9D7" w14:textId="77777777" w:rsidR="00E108B0" w:rsidRPr="00E108B0" w:rsidRDefault="00E108B0" w:rsidP="009835A8">
      <w:pPr>
        <w:pStyle w:val="ListParagraph"/>
        <w:numPr>
          <w:ilvl w:val="0"/>
          <w:numId w:val="6"/>
        </w:numPr>
      </w:pPr>
      <w:r w:rsidRPr="00E108B0">
        <w:t>Guaranteed connecting service issues</w:t>
      </w:r>
    </w:p>
    <w:p w14:paraId="5F4370F3" w14:textId="77777777" w:rsidR="00E108B0" w:rsidRPr="00E108B0" w:rsidRDefault="00E108B0" w:rsidP="009835A8">
      <w:pPr>
        <w:pStyle w:val="ListParagraph"/>
        <w:numPr>
          <w:ilvl w:val="0"/>
          <w:numId w:val="6"/>
        </w:numPr>
      </w:pPr>
      <w:r w:rsidRPr="00E108B0">
        <w:t>Service disruption advice on PTV app</w:t>
      </w:r>
    </w:p>
    <w:p w14:paraId="3950FDEF" w14:textId="77777777" w:rsidR="00E108B0" w:rsidRPr="00E108B0" w:rsidRDefault="00E108B0" w:rsidP="009835A8">
      <w:pPr>
        <w:pStyle w:val="ListParagraph"/>
        <w:numPr>
          <w:ilvl w:val="0"/>
          <w:numId w:val="6"/>
        </w:numPr>
      </w:pPr>
      <w:r w:rsidRPr="00E108B0">
        <w:t>V/Line accepting first class bookings after service replaced by coach</w:t>
      </w:r>
    </w:p>
    <w:p w14:paraId="732A83A0" w14:textId="77777777" w:rsidR="00E108B0" w:rsidRPr="00E108B0" w:rsidRDefault="00E108B0" w:rsidP="009835A8">
      <w:pPr>
        <w:pStyle w:val="ListParagraph"/>
        <w:numPr>
          <w:ilvl w:val="0"/>
          <w:numId w:val="6"/>
        </w:numPr>
      </w:pPr>
      <w:r w:rsidRPr="00E108B0">
        <w:t xml:space="preserve">Train access for special needs passengers at Flinders Street Station when train changed direction </w:t>
      </w:r>
    </w:p>
    <w:p w14:paraId="41088E1B" w14:textId="77777777" w:rsidR="00E108B0" w:rsidRPr="00E108B0" w:rsidRDefault="00E108B0" w:rsidP="009835A8">
      <w:pPr>
        <w:pStyle w:val="ListParagraph"/>
        <w:numPr>
          <w:ilvl w:val="0"/>
          <w:numId w:val="6"/>
        </w:numPr>
      </w:pPr>
      <w:r w:rsidRPr="00E108B0">
        <w:t>PTV Contact Centre issue where customer emails not received</w:t>
      </w:r>
    </w:p>
    <w:p w14:paraId="00407AC1" w14:textId="77777777" w:rsidR="00E108B0" w:rsidRPr="00E108B0" w:rsidRDefault="00E108B0" w:rsidP="009835A8">
      <w:pPr>
        <w:pStyle w:val="ListParagraph"/>
        <w:numPr>
          <w:ilvl w:val="0"/>
          <w:numId w:val="6"/>
        </w:numPr>
      </w:pPr>
      <w:r w:rsidRPr="00E108B0">
        <w:t>PTV request for myki to be submitted in order to process refund</w:t>
      </w:r>
    </w:p>
    <w:p w14:paraId="44B1E287" w14:textId="77777777" w:rsidR="00E108B0" w:rsidRPr="00E108B0" w:rsidRDefault="00E108B0" w:rsidP="009835A8">
      <w:pPr>
        <w:pStyle w:val="ListParagraph"/>
        <w:numPr>
          <w:ilvl w:val="0"/>
          <w:numId w:val="6"/>
        </w:numPr>
      </w:pPr>
      <w:r w:rsidRPr="00E108B0">
        <w:lastRenderedPageBreak/>
        <w:t>No formal procedure to assess staff conduct in customer facing roles</w:t>
      </w:r>
    </w:p>
    <w:p w14:paraId="774C3985" w14:textId="77777777" w:rsidR="00E108B0" w:rsidRPr="00E108B0" w:rsidRDefault="00E108B0" w:rsidP="009835A8">
      <w:pPr>
        <w:pStyle w:val="ListParagraph"/>
        <w:numPr>
          <w:ilvl w:val="0"/>
          <w:numId w:val="6"/>
        </w:numPr>
      </w:pPr>
      <w:r w:rsidRPr="00E108B0">
        <w:t>Incorrect application of pass refund calculation</w:t>
      </w:r>
    </w:p>
    <w:p w14:paraId="4247A1CC" w14:textId="77777777" w:rsidR="00E108B0" w:rsidRPr="00E108B0" w:rsidRDefault="00E108B0" w:rsidP="009835A8">
      <w:pPr>
        <w:pStyle w:val="ListParagraph"/>
        <w:numPr>
          <w:ilvl w:val="0"/>
          <w:numId w:val="6"/>
        </w:numPr>
      </w:pPr>
      <w:r w:rsidRPr="00E108B0">
        <w:t>Accessibility at railway stations for visually impaired travellers</w:t>
      </w:r>
    </w:p>
    <w:p w14:paraId="5116D9F6" w14:textId="77777777" w:rsidR="00E108B0" w:rsidRPr="00E108B0" w:rsidRDefault="00E108B0" w:rsidP="009835A8">
      <w:pPr>
        <w:pStyle w:val="ListParagraph"/>
        <w:numPr>
          <w:ilvl w:val="0"/>
          <w:numId w:val="6"/>
        </w:numPr>
      </w:pPr>
      <w:r w:rsidRPr="00E108B0">
        <w:t>Disabled seating on V/Line coaches</w:t>
      </w:r>
    </w:p>
    <w:p w14:paraId="74B49DD0" w14:textId="77777777" w:rsidR="00E108B0" w:rsidRPr="00E108B0" w:rsidRDefault="00E108B0" w:rsidP="009835A8">
      <w:pPr>
        <w:pStyle w:val="ListParagraph"/>
        <w:numPr>
          <w:ilvl w:val="0"/>
          <w:numId w:val="6"/>
        </w:numPr>
      </w:pPr>
      <w:r w:rsidRPr="00E108B0">
        <w:t>Toilet accessibility on long haul trains</w:t>
      </w:r>
    </w:p>
    <w:p w14:paraId="50172089" w14:textId="77777777" w:rsidR="00E108B0" w:rsidRPr="00E108B0" w:rsidRDefault="00E108B0" w:rsidP="009835A8">
      <w:pPr>
        <w:pStyle w:val="ListParagraph"/>
        <w:numPr>
          <w:ilvl w:val="0"/>
          <w:numId w:val="6"/>
        </w:numPr>
      </w:pPr>
      <w:r w:rsidRPr="00E108B0">
        <w:t>Disability access to peak hour services</w:t>
      </w:r>
    </w:p>
    <w:p w14:paraId="2247F7DF" w14:textId="77777777" w:rsidR="00E108B0" w:rsidRPr="00E108B0" w:rsidRDefault="00E108B0" w:rsidP="009835A8">
      <w:pPr>
        <w:pStyle w:val="ListParagraph"/>
        <w:numPr>
          <w:ilvl w:val="0"/>
          <w:numId w:val="6"/>
        </w:numPr>
      </w:pPr>
      <w:r w:rsidRPr="00E108B0">
        <w:t>Delay in processing myki refunds</w:t>
      </w:r>
    </w:p>
    <w:p w14:paraId="3DFCE028" w14:textId="77777777" w:rsidR="00E108B0" w:rsidRPr="00E108B0" w:rsidRDefault="00E108B0" w:rsidP="009835A8">
      <w:pPr>
        <w:pStyle w:val="ListParagraph"/>
        <w:numPr>
          <w:ilvl w:val="0"/>
          <w:numId w:val="6"/>
        </w:numPr>
      </w:pPr>
      <w:r w:rsidRPr="00E108B0">
        <w:t>Incorrect information provided by PTV Contact Centre</w:t>
      </w:r>
    </w:p>
    <w:p w14:paraId="29303693" w14:textId="77777777" w:rsidR="00E108B0" w:rsidRPr="00E108B0" w:rsidRDefault="00E108B0" w:rsidP="009835A8">
      <w:pPr>
        <w:pStyle w:val="ListParagraph"/>
        <w:numPr>
          <w:ilvl w:val="0"/>
          <w:numId w:val="6"/>
        </w:numPr>
      </w:pPr>
      <w:r w:rsidRPr="00E108B0">
        <w:t>Performance based compensation: How to apply</w:t>
      </w:r>
    </w:p>
    <w:p w14:paraId="39AA694A" w14:textId="7DEE98BB" w:rsidR="00E108B0" w:rsidRPr="00E108B0" w:rsidRDefault="00E108B0" w:rsidP="009835A8">
      <w:pPr>
        <w:pStyle w:val="ListParagraph"/>
        <w:numPr>
          <w:ilvl w:val="0"/>
          <w:numId w:val="6"/>
        </w:numPr>
      </w:pPr>
      <w:r w:rsidRPr="00E108B0">
        <w:t>Performance based compensation: Access to information</w:t>
      </w:r>
    </w:p>
    <w:p w14:paraId="59960516" w14:textId="77777777" w:rsidR="00E108B0" w:rsidRPr="00E108B0" w:rsidRDefault="00E108B0" w:rsidP="009835A8">
      <w:pPr>
        <w:pStyle w:val="ListParagraph"/>
        <w:numPr>
          <w:ilvl w:val="0"/>
          <w:numId w:val="6"/>
        </w:numPr>
      </w:pPr>
      <w:r w:rsidRPr="00E108B0">
        <w:t xml:space="preserve">Accessing trams at </w:t>
      </w:r>
      <w:proofErr w:type="spellStart"/>
      <w:r w:rsidRPr="00E108B0">
        <w:t>superstops</w:t>
      </w:r>
      <w:proofErr w:type="spellEnd"/>
    </w:p>
    <w:p w14:paraId="6B4E0896" w14:textId="77777777" w:rsidR="00E108B0" w:rsidRPr="00E108B0" w:rsidRDefault="00E108B0" w:rsidP="009835A8">
      <w:pPr>
        <w:pStyle w:val="ListParagraph"/>
        <w:numPr>
          <w:ilvl w:val="0"/>
          <w:numId w:val="6"/>
        </w:numPr>
      </w:pPr>
      <w:r w:rsidRPr="00E108B0">
        <w:t>V/Line wheelchair access in carriage and toilets</w:t>
      </w:r>
    </w:p>
    <w:p w14:paraId="2BAC5C67" w14:textId="77777777" w:rsidR="00E108B0" w:rsidRPr="00E108B0" w:rsidRDefault="00E108B0" w:rsidP="009835A8">
      <w:pPr>
        <w:pStyle w:val="ListParagraph"/>
        <w:numPr>
          <w:ilvl w:val="0"/>
          <w:numId w:val="6"/>
        </w:numPr>
      </w:pPr>
      <w:r w:rsidRPr="00E108B0">
        <w:t>Mobile myki</w:t>
      </w:r>
    </w:p>
    <w:p w14:paraId="55FBA58C" w14:textId="0E61A347" w:rsidR="005A413F" w:rsidRPr="00E108B0" w:rsidRDefault="00E108B0" w:rsidP="009835A8">
      <w:pPr>
        <w:pStyle w:val="ListParagraph"/>
        <w:numPr>
          <w:ilvl w:val="0"/>
          <w:numId w:val="6"/>
        </w:numPr>
      </w:pPr>
      <w:r w:rsidRPr="00E108B0">
        <w:t>Unplanned service disruption – disruption management</w:t>
      </w:r>
    </w:p>
    <w:p w14:paraId="2E8E839A" w14:textId="77777777" w:rsidR="005C5532" w:rsidRDefault="005A413F" w:rsidP="005C5532">
      <w:pPr>
        <w:pStyle w:val="Heading1"/>
      </w:pPr>
      <w:r w:rsidRPr="00E108B0">
        <w:br w:type="page"/>
      </w:r>
      <w:r w:rsidR="005C5532">
        <w:lastRenderedPageBreak/>
        <w:t>In the community</w:t>
      </w:r>
    </w:p>
    <w:p w14:paraId="3CCADC34" w14:textId="77777777" w:rsidR="005C5532" w:rsidRPr="005C5532" w:rsidRDefault="005C5532" w:rsidP="005C5532">
      <w:r w:rsidRPr="005C5532">
        <w:t xml:space="preserve">We make ourselves readily available to people by promoting knowledge of our services, being easy to use and having no cost barriers, in accordance with the Benchmark of Accessibility. </w:t>
      </w:r>
    </w:p>
    <w:p w14:paraId="4D6E845E" w14:textId="77777777" w:rsidR="005C5532" w:rsidRPr="005C5532" w:rsidRDefault="005C5532" w:rsidP="005C5532">
      <w:r w:rsidRPr="005C5532">
        <w:t xml:space="preserve">In the past year we have engaged with the community and expanded our network of partners to ensure that information about the PTO gets out to those who need us most. </w:t>
      </w:r>
    </w:p>
    <w:p w14:paraId="23D8DCF2" w14:textId="77777777" w:rsidR="005C5532" w:rsidRPr="005C5532" w:rsidRDefault="005C5532" w:rsidP="005C5532">
      <w:pPr>
        <w:pStyle w:val="Heading2"/>
      </w:pPr>
      <w:r w:rsidRPr="005C5532">
        <w:t xml:space="preserve">Outreach </w:t>
      </w:r>
    </w:p>
    <w:p w14:paraId="51A0FEBD" w14:textId="77777777" w:rsidR="005C5532" w:rsidRPr="005C5532" w:rsidRDefault="005C5532" w:rsidP="005C5532">
      <w:r w:rsidRPr="005C5532">
        <w:t xml:space="preserve">We began the new year at university campuses across Melbourne to engage with students and staff about public transport issues and how they can involve our office when things go wrong. Myki and concession issues featured strongly in the issues raised with us, and as always, we received lots of general feedback on the public transport system, both bad and good. </w:t>
      </w:r>
    </w:p>
    <w:p w14:paraId="285975CC" w14:textId="77777777" w:rsidR="005C5532" w:rsidRPr="005C5532" w:rsidRDefault="005C5532" w:rsidP="005C5532">
      <w:r w:rsidRPr="005C5532">
        <w:t xml:space="preserve">PTO staff attended a number of disability expos across metropolitan and regional Victoria to provide advice about our services, record complaints and get first-hand information about systemic accessibility challenges on public transport. </w:t>
      </w:r>
    </w:p>
    <w:p w14:paraId="0B08E47C" w14:textId="77777777" w:rsidR="005C5532" w:rsidRPr="005C5532" w:rsidRDefault="005C5532" w:rsidP="005C5532">
      <w:r w:rsidRPr="005C5532">
        <w:t xml:space="preserve">We participated in Law Week in Melbourne, putting on a question and answer session with other Ombudsman Schemes to explain how alternative dispute resolution Schemes such as ours promote fair, free and fast access to justice. </w:t>
      </w:r>
    </w:p>
    <w:p w14:paraId="6F32268F" w14:textId="77777777" w:rsidR="005C5532" w:rsidRPr="005C5532" w:rsidRDefault="005C5532" w:rsidP="005C5532">
      <w:pPr>
        <w:pStyle w:val="Heading2"/>
      </w:pPr>
      <w:r w:rsidRPr="005C5532">
        <w:t>Engaging in languages other than English</w:t>
      </w:r>
    </w:p>
    <w:p w14:paraId="71FE4105" w14:textId="77777777" w:rsidR="005C5532" w:rsidRPr="005C5532" w:rsidRDefault="005C5532" w:rsidP="005C5532">
      <w:r w:rsidRPr="005C5532">
        <w:t xml:space="preserve">This year saw us refresh the information about the PTO that we have available in languages other than English. Our website has expanded information in 11 languages other than English, and for the first time ever we promoted posts through our Facebook page in other languages – initially Hindu and Punjabi. Engaging with migrant resource centres and ethnic community associations across Victoria saw information about the PTO shared in different languages with diverse community groups. </w:t>
      </w:r>
    </w:p>
    <w:p w14:paraId="2CD47577" w14:textId="6BC83C37" w:rsidR="005C5532" w:rsidRPr="005C5532" w:rsidRDefault="005C5532" w:rsidP="005C5532">
      <w:r w:rsidRPr="005C5532">
        <w:t xml:space="preserve">At the same time, PTO staff underwent cultural awareness training, to ensure that we continue to be sensitive to the needs of people from culturally and linguistically diverse backgrounds who approach us for help with their public transport complaints. </w:t>
      </w:r>
    </w:p>
    <w:p w14:paraId="6DAB1D69" w14:textId="77777777" w:rsidR="005C5532" w:rsidRPr="005C5532" w:rsidRDefault="005C5532" w:rsidP="005C5532">
      <w:pPr>
        <w:pStyle w:val="Heading2"/>
      </w:pPr>
      <w:r w:rsidRPr="005C5532">
        <w:t>Accessibility</w:t>
      </w:r>
    </w:p>
    <w:p w14:paraId="58943469" w14:textId="77777777" w:rsidR="005C5532" w:rsidRPr="005C5532" w:rsidRDefault="005C5532" w:rsidP="005C5532">
      <w:r w:rsidRPr="005C5532">
        <w:t xml:space="preserve">The accessibility of public transport continues to be a major focus of the work we do. </w:t>
      </w:r>
    </w:p>
    <w:p w14:paraId="48AB964E" w14:textId="77777777" w:rsidR="005C5532" w:rsidRPr="005C5532" w:rsidRDefault="005C5532" w:rsidP="005C5532">
      <w:r w:rsidRPr="005C5532">
        <w:t xml:space="preserve">In April we released our first annual Accessibility Bulletin, which looked at some of the accessibility challenges facing Victorians using public transport or affected by public transport works. The bulletin noted that since 2014, between 5% and 7% of the total complaints we received were about the accessibility of public transport. We feel that this under-represents the experiences of people who do not find public transport accessible, and we continue to hear from advocacy agencies who tell us that people who are more vulnerable are very often unlikely or unwilling to complain when things go wrong. </w:t>
      </w:r>
    </w:p>
    <w:p w14:paraId="4082BA67" w14:textId="7BBAFBB8" w:rsidR="005C5532" w:rsidRPr="005C5532" w:rsidRDefault="005C5532" w:rsidP="005C5532">
      <w:r w:rsidRPr="005C5532">
        <w:t>Our systemic issues process is one way in which we can address systemic failings in respect of accessibility and bring about improvements in the public transport system. We have been building partnerships with organisations in the community like the Disability Resource Centre to identify and address barriers to accessible public transport and make sure everyone feels they have a voice when it comes to complaining about public transport.</w:t>
      </w:r>
    </w:p>
    <w:p w14:paraId="7235EA3D" w14:textId="77777777" w:rsidR="005C5532" w:rsidRPr="005C5532" w:rsidRDefault="005C5532" w:rsidP="005C5532">
      <w:pPr>
        <w:pStyle w:val="Heading2"/>
      </w:pPr>
      <w:r w:rsidRPr="005C5532">
        <w:lastRenderedPageBreak/>
        <w:t>Travel Assistance Program</w:t>
      </w:r>
    </w:p>
    <w:p w14:paraId="19682AC9" w14:textId="77777777" w:rsidR="005C5532" w:rsidRPr="005C5532" w:rsidRDefault="005C5532" w:rsidP="005C5532">
      <w:r w:rsidRPr="005C5532">
        <w:t xml:space="preserve">We continue to work with </w:t>
      </w:r>
      <w:proofErr w:type="spellStart"/>
      <w:r w:rsidRPr="005C5532">
        <w:t>WEstjustice</w:t>
      </w:r>
      <w:proofErr w:type="spellEnd"/>
      <w:r w:rsidRPr="005C5532">
        <w:t xml:space="preserve"> and other partners to support students in the City of Wyndham who face challenges getting to school because of housing instability. In 2019 the program has been expanded to more schools with the help of a grant from the State Government. </w:t>
      </w:r>
    </w:p>
    <w:p w14:paraId="4C3E27FA" w14:textId="77777777" w:rsidR="005C5532" w:rsidRPr="005C5532" w:rsidRDefault="005C5532" w:rsidP="005C5532">
      <w:r w:rsidRPr="005C5532">
        <w:t xml:space="preserve">Last year, schools in the original pilot raised with us some of the administrative challenges of managing myki for a wide cohort. This year, students in the expanded pilot have been travelling on the new monthly vulnerable persons pass, which is being trialled by the Department of Transport. This pass is not without its challenges, primarily as students interact with Authorised Officers and public transport staff who are not familiar with the pass and how it works. We are working hard to ensure that all students on the program have the best support and travel outcomes. </w:t>
      </w:r>
    </w:p>
    <w:p w14:paraId="733529B1" w14:textId="77777777" w:rsidR="005C5532" w:rsidRDefault="005C5532" w:rsidP="005C5532">
      <w:r w:rsidRPr="005C5532">
        <w:t>Partners in the program include Victorian Council of Social Service, the Department of Education, the Department of Transport, PTV, the City of Wyndham and Metro. All members of the Steering Committee have an overriding commitment to support the students on the program to get the support they need and to continue their schooling.</w:t>
      </w:r>
      <w:r>
        <w:t xml:space="preserve"> </w:t>
      </w:r>
    </w:p>
    <w:p w14:paraId="3FB1D533" w14:textId="77777777" w:rsidR="005C5532" w:rsidRDefault="005C5532" w:rsidP="005C5532">
      <w:pPr>
        <w:pStyle w:val="Heading2"/>
      </w:pPr>
      <w:r>
        <w:t>Callouts show</w:t>
      </w:r>
    </w:p>
    <w:p w14:paraId="420EC877" w14:textId="77777777" w:rsidR="005C5532" w:rsidRDefault="005C5532" w:rsidP="009835A8">
      <w:pPr>
        <w:pStyle w:val="ListParagraph"/>
        <w:numPr>
          <w:ilvl w:val="0"/>
          <w:numId w:val="8"/>
        </w:numPr>
      </w:pPr>
      <w:r>
        <w:t>11 Languages translated</w:t>
      </w:r>
    </w:p>
    <w:p w14:paraId="061B0E22" w14:textId="416D796F" w:rsidR="005C5532" w:rsidRDefault="005C5532" w:rsidP="009835A8">
      <w:pPr>
        <w:pStyle w:val="ListParagraph"/>
        <w:numPr>
          <w:ilvl w:val="0"/>
          <w:numId w:val="8"/>
        </w:numPr>
      </w:pPr>
      <w:r>
        <w:t>15 Events attended</w:t>
      </w:r>
    </w:p>
    <w:p w14:paraId="34E132D1" w14:textId="6C693FE5" w:rsidR="005C5532" w:rsidRDefault="005C5532" w:rsidP="009835A8">
      <w:pPr>
        <w:pStyle w:val="ListParagraph"/>
        <w:numPr>
          <w:ilvl w:val="0"/>
          <w:numId w:val="8"/>
        </w:numPr>
      </w:pPr>
      <w:r>
        <w:t>2500+ Facebook followers</w:t>
      </w:r>
      <w:r>
        <w:br w:type="page"/>
      </w:r>
    </w:p>
    <w:p w14:paraId="243F8460" w14:textId="4D3236A6" w:rsidR="00B36D25" w:rsidRDefault="00E0649A" w:rsidP="00237C86">
      <w:pPr>
        <w:pStyle w:val="Heading1"/>
        <w:ind w:right="118"/>
      </w:pPr>
      <w:r w:rsidRPr="00CC2E64">
        <w:lastRenderedPageBreak/>
        <w:t>A</w:t>
      </w:r>
      <w:r w:rsidR="00237C86" w:rsidRPr="00CC2E64">
        <w:t xml:space="preserve">pproaches and complaints by </w:t>
      </w:r>
      <w:r w:rsidR="00237C86">
        <w:t>PTO</w:t>
      </w:r>
      <w:r w:rsidR="00237C86" w:rsidRPr="00CC2E64">
        <w:t xml:space="preserve"> member </w:t>
      </w:r>
    </w:p>
    <w:p w14:paraId="35E77AA5" w14:textId="78EB591B" w:rsidR="00237C86" w:rsidRPr="00237C86" w:rsidRDefault="00B441E9" w:rsidP="00B441E9">
      <w:pPr>
        <w:pStyle w:val="Heading2"/>
      </w:pPr>
      <w:proofErr w:type="spellStart"/>
      <w:r w:rsidRPr="00237C86">
        <w:t>Bus</w:t>
      </w:r>
      <w:r>
        <w:t>V</w:t>
      </w:r>
      <w:r w:rsidRPr="00237C86">
        <w:t>ic</w:t>
      </w:r>
      <w:proofErr w:type="spellEnd"/>
      <w:r w:rsidR="00237C86" w:rsidRPr="00237C86">
        <w:tab/>
      </w:r>
    </w:p>
    <w:p w14:paraId="0C58E064" w14:textId="65DF9A96" w:rsidR="00237C86" w:rsidRPr="00237C86" w:rsidRDefault="00237C86" w:rsidP="009835A8">
      <w:pPr>
        <w:pStyle w:val="ListParagraph"/>
        <w:numPr>
          <w:ilvl w:val="0"/>
          <w:numId w:val="10"/>
        </w:numPr>
      </w:pPr>
      <w:r w:rsidRPr="00237C86">
        <w:t>Totals</w:t>
      </w:r>
      <w:r w:rsidR="00B441E9">
        <w:t xml:space="preserve"> </w:t>
      </w:r>
      <w:r w:rsidRPr="00237C86">
        <w:t>198</w:t>
      </w:r>
    </w:p>
    <w:p w14:paraId="48A504A4" w14:textId="2249871D" w:rsidR="00237C86" w:rsidRPr="00237C86" w:rsidRDefault="00237C86" w:rsidP="009835A8">
      <w:pPr>
        <w:pStyle w:val="ListParagraph"/>
        <w:numPr>
          <w:ilvl w:val="0"/>
          <w:numId w:val="10"/>
        </w:numPr>
      </w:pPr>
      <w:r w:rsidRPr="00237C86">
        <w:t>Investigation</w:t>
      </w:r>
      <w:r w:rsidR="00B441E9">
        <w:t xml:space="preserve"> </w:t>
      </w:r>
      <w:r w:rsidRPr="00237C86">
        <w:t>59</w:t>
      </w:r>
    </w:p>
    <w:p w14:paraId="7DAFD6C6" w14:textId="1BE6576D" w:rsidR="00237C86" w:rsidRPr="00237C86" w:rsidRDefault="00237C86" w:rsidP="009835A8">
      <w:pPr>
        <w:pStyle w:val="ListParagraph"/>
        <w:numPr>
          <w:ilvl w:val="0"/>
          <w:numId w:val="10"/>
        </w:numPr>
      </w:pPr>
      <w:r w:rsidRPr="00237C86">
        <w:t xml:space="preserve">Member </w:t>
      </w:r>
      <w:r w:rsidR="00B441E9">
        <w:t>–</w:t>
      </w:r>
      <w:r w:rsidRPr="00237C86">
        <w:t xml:space="preserve"> Complaint</w:t>
      </w:r>
      <w:r w:rsidR="00B441E9">
        <w:t xml:space="preserve"> </w:t>
      </w:r>
      <w:r w:rsidRPr="00237C86">
        <w:t>105</w:t>
      </w:r>
    </w:p>
    <w:p w14:paraId="5DCF69E8" w14:textId="0639EC52" w:rsidR="00237C86" w:rsidRPr="00237C86" w:rsidRDefault="00237C86" w:rsidP="009835A8">
      <w:pPr>
        <w:pStyle w:val="ListParagraph"/>
        <w:numPr>
          <w:ilvl w:val="0"/>
          <w:numId w:val="10"/>
        </w:numPr>
      </w:pPr>
      <w:r w:rsidRPr="00237C86">
        <w:t xml:space="preserve">Member </w:t>
      </w:r>
      <w:r w:rsidR="00B441E9">
        <w:t>–</w:t>
      </w:r>
      <w:r w:rsidRPr="00237C86">
        <w:t xml:space="preserve"> Enquiry</w:t>
      </w:r>
      <w:r w:rsidR="00B441E9">
        <w:t xml:space="preserve"> </w:t>
      </w:r>
      <w:r w:rsidRPr="00237C86">
        <w:t>5</w:t>
      </w:r>
    </w:p>
    <w:p w14:paraId="791ECC69" w14:textId="352CBC37" w:rsidR="00237C86" w:rsidRPr="00237C86" w:rsidRDefault="00237C86" w:rsidP="009835A8">
      <w:pPr>
        <w:pStyle w:val="ListParagraph"/>
        <w:numPr>
          <w:ilvl w:val="0"/>
          <w:numId w:val="10"/>
        </w:numPr>
      </w:pPr>
      <w:r w:rsidRPr="00237C86">
        <w:t xml:space="preserve">Referral </w:t>
      </w:r>
      <w:r w:rsidR="00B441E9" w:rsidRPr="00237C86">
        <w:t>for</w:t>
      </w:r>
      <w:r w:rsidRPr="00237C86">
        <w:t xml:space="preserve"> Internal Escalation</w:t>
      </w:r>
      <w:r w:rsidR="00B441E9">
        <w:t xml:space="preserve"> </w:t>
      </w:r>
      <w:r w:rsidRPr="00237C86">
        <w:t>29</w:t>
      </w:r>
    </w:p>
    <w:p w14:paraId="2D94BDE6" w14:textId="77777777" w:rsidR="00237C86" w:rsidRPr="00237C86" w:rsidRDefault="00237C86" w:rsidP="00B441E9">
      <w:pPr>
        <w:pStyle w:val="Heading3"/>
      </w:pPr>
      <w:r w:rsidRPr="00237C86">
        <w:t>Top Issues</w:t>
      </w:r>
      <w:r w:rsidRPr="00237C86">
        <w:tab/>
      </w:r>
    </w:p>
    <w:p w14:paraId="3E45EDCE" w14:textId="1074C7F4" w:rsidR="00237C86" w:rsidRPr="00237C86" w:rsidRDefault="00237C86" w:rsidP="009835A8">
      <w:pPr>
        <w:pStyle w:val="ListParagraph"/>
        <w:numPr>
          <w:ilvl w:val="0"/>
          <w:numId w:val="10"/>
        </w:numPr>
      </w:pPr>
      <w:r w:rsidRPr="00237C86">
        <w:t>Staff</w:t>
      </w:r>
      <w:r w:rsidR="00B441E9">
        <w:t xml:space="preserve"> </w:t>
      </w:r>
      <w:r w:rsidRPr="00237C86">
        <w:t>232</w:t>
      </w:r>
    </w:p>
    <w:p w14:paraId="1BC0DC18" w14:textId="002C8B7D" w:rsidR="00237C86" w:rsidRPr="00237C86" w:rsidRDefault="00237C86" w:rsidP="009835A8">
      <w:pPr>
        <w:pStyle w:val="ListParagraph"/>
        <w:numPr>
          <w:ilvl w:val="0"/>
          <w:numId w:val="10"/>
        </w:numPr>
      </w:pPr>
      <w:r w:rsidRPr="00237C86">
        <w:t>Service Delivery</w:t>
      </w:r>
      <w:r w:rsidR="00B441E9">
        <w:t xml:space="preserve"> </w:t>
      </w:r>
      <w:r w:rsidRPr="00237C86">
        <w:t>135</w:t>
      </w:r>
    </w:p>
    <w:p w14:paraId="2C546582" w14:textId="10F0694C" w:rsidR="00237C86" w:rsidRPr="00237C86" w:rsidRDefault="00237C86" w:rsidP="009835A8">
      <w:pPr>
        <w:pStyle w:val="ListParagraph"/>
        <w:numPr>
          <w:ilvl w:val="0"/>
          <w:numId w:val="10"/>
        </w:numPr>
      </w:pPr>
      <w:r w:rsidRPr="00237C86">
        <w:t>Buses</w:t>
      </w:r>
      <w:r w:rsidR="00B441E9">
        <w:t xml:space="preserve"> </w:t>
      </w:r>
      <w:r w:rsidRPr="00237C86">
        <w:t>44</w:t>
      </w:r>
    </w:p>
    <w:p w14:paraId="2A61C88F" w14:textId="77777777" w:rsidR="00B441E9" w:rsidRDefault="00B441E9" w:rsidP="00B441E9">
      <w:pPr>
        <w:pStyle w:val="Heading2"/>
      </w:pPr>
    </w:p>
    <w:p w14:paraId="3CC7082A" w14:textId="72044F44" w:rsidR="00237C86" w:rsidRPr="00237C86" w:rsidRDefault="00B441E9" w:rsidP="00B441E9">
      <w:pPr>
        <w:pStyle w:val="Heading2"/>
      </w:pPr>
      <w:r w:rsidRPr="00237C86">
        <w:t>Level Crossing Removal Project</w:t>
      </w:r>
      <w:r w:rsidRPr="00237C86">
        <w:tab/>
      </w:r>
    </w:p>
    <w:p w14:paraId="3A91083A" w14:textId="139D3D26" w:rsidR="00237C86" w:rsidRPr="00237C86" w:rsidRDefault="00237C86" w:rsidP="009835A8">
      <w:pPr>
        <w:pStyle w:val="ListParagraph"/>
        <w:numPr>
          <w:ilvl w:val="0"/>
          <w:numId w:val="11"/>
        </w:numPr>
      </w:pPr>
      <w:r w:rsidRPr="00237C86">
        <w:t>Totals</w:t>
      </w:r>
      <w:r w:rsidR="00B441E9">
        <w:t xml:space="preserve"> </w:t>
      </w:r>
      <w:r w:rsidRPr="00237C86">
        <w:t>101</w:t>
      </w:r>
    </w:p>
    <w:p w14:paraId="68F57228" w14:textId="792C101A" w:rsidR="00237C86" w:rsidRPr="00237C86" w:rsidRDefault="00237C86" w:rsidP="009835A8">
      <w:pPr>
        <w:pStyle w:val="ListParagraph"/>
        <w:numPr>
          <w:ilvl w:val="0"/>
          <w:numId w:val="11"/>
        </w:numPr>
      </w:pPr>
      <w:r w:rsidRPr="00237C86">
        <w:t>Investigation</w:t>
      </w:r>
      <w:r w:rsidR="00B441E9">
        <w:t xml:space="preserve"> </w:t>
      </w:r>
      <w:r w:rsidRPr="00237C86">
        <w:t>32</w:t>
      </w:r>
    </w:p>
    <w:p w14:paraId="2B29679C" w14:textId="36803C55" w:rsidR="00237C86" w:rsidRPr="00237C86" w:rsidRDefault="00237C86" w:rsidP="009835A8">
      <w:pPr>
        <w:pStyle w:val="ListParagraph"/>
        <w:numPr>
          <w:ilvl w:val="0"/>
          <w:numId w:val="11"/>
        </w:numPr>
      </w:pPr>
      <w:r w:rsidRPr="00237C86">
        <w:t xml:space="preserve">Member </w:t>
      </w:r>
      <w:r w:rsidR="00B441E9">
        <w:t>–</w:t>
      </w:r>
      <w:r w:rsidRPr="00237C86">
        <w:t xml:space="preserve"> Complaint</w:t>
      </w:r>
      <w:r w:rsidR="00B441E9">
        <w:t xml:space="preserve"> </w:t>
      </w:r>
      <w:r w:rsidRPr="00237C86">
        <w:t>37</w:t>
      </w:r>
    </w:p>
    <w:p w14:paraId="6E78A7E8" w14:textId="3D356EC4" w:rsidR="00237C86" w:rsidRPr="00237C86" w:rsidRDefault="00237C86" w:rsidP="009835A8">
      <w:pPr>
        <w:pStyle w:val="ListParagraph"/>
        <w:numPr>
          <w:ilvl w:val="0"/>
          <w:numId w:val="11"/>
        </w:numPr>
      </w:pPr>
      <w:r w:rsidRPr="00237C86">
        <w:t xml:space="preserve">Member </w:t>
      </w:r>
      <w:r w:rsidR="00B441E9">
        <w:t>–</w:t>
      </w:r>
      <w:r w:rsidRPr="00237C86">
        <w:t xml:space="preserve"> Enquiry</w:t>
      </w:r>
      <w:r w:rsidR="00B441E9">
        <w:t xml:space="preserve"> </w:t>
      </w:r>
      <w:r w:rsidRPr="00237C86">
        <w:t>2</w:t>
      </w:r>
    </w:p>
    <w:p w14:paraId="25CE6020" w14:textId="581A72CD" w:rsidR="00237C86" w:rsidRPr="00237C86" w:rsidRDefault="00237C86" w:rsidP="009835A8">
      <w:pPr>
        <w:pStyle w:val="ListParagraph"/>
        <w:numPr>
          <w:ilvl w:val="0"/>
          <w:numId w:val="11"/>
        </w:numPr>
      </w:pPr>
      <w:r w:rsidRPr="00237C86">
        <w:t xml:space="preserve">Referral </w:t>
      </w:r>
      <w:r w:rsidR="00B441E9" w:rsidRPr="00237C86">
        <w:t>for</w:t>
      </w:r>
      <w:r w:rsidRPr="00237C86">
        <w:t xml:space="preserve"> Internal Escalation</w:t>
      </w:r>
      <w:r w:rsidR="00B441E9">
        <w:t xml:space="preserve"> </w:t>
      </w:r>
      <w:r w:rsidRPr="00237C86">
        <w:t>30</w:t>
      </w:r>
    </w:p>
    <w:p w14:paraId="794A7461" w14:textId="77777777" w:rsidR="00237C86" w:rsidRPr="00237C86" w:rsidRDefault="00237C86" w:rsidP="00B441E9">
      <w:pPr>
        <w:pStyle w:val="Heading3"/>
      </w:pPr>
      <w:r w:rsidRPr="00237C86">
        <w:t>Top Issues</w:t>
      </w:r>
      <w:r w:rsidRPr="00237C86">
        <w:tab/>
      </w:r>
    </w:p>
    <w:p w14:paraId="385F9564" w14:textId="239C3EDB" w:rsidR="00237C86" w:rsidRPr="00237C86" w:rsidRDefault="00237C86" w:rsidP="009835A8">
      <w:pPr>
        <w:pStyle w:val="ListParagraph"/>
        <w:numPr>
          <w:ilvl w:val="0"/>
          <w:numId w:val="11"/>
        </w:numPr>
      </w:pPr>
      <w:r w:rsidRPr="00237C86">
        <w:t>Land and Infrastructure</w:t>
      </w:r>
      <w:r w:rsidR="00B441E9">
        <w:t xml:space="preserve"> </w:t>
      </w:r>
      <w:r w:rsidRPr="00237C86">
        <w:t>147</w:t>
      </w:r>
    </w:p>
    <w:p w14:paraId="45F2E363" w14:textId="4E85E168" w:rsidR="00237C86" w:rsidRPr="00237C86" w:rsidRDefault="00237C86" w:rsidP="009835A8">
      <w:pPr>
        <w:pStyle w:val="ListParagraph"/>
        <w:numPr>
          <w:ilvl w:val="0"/>
          <w:numId w:val="11"/>
        </w:numPr>
      </w:pPr>
      <w:r w:rsidRPr="00237C86">
        <w:t>Staff</w:t>
      </w:r>
      <w:r w:rsidR="00B441E9">
        <w:t xml:space="preserve"> </w:t>
      </w:r>
      <w:r w:rsidRPr="00237C86">
        <w:t>88</w:t>
      </w:r>
    </w:p>
    <w:p w14:paraId="120A2070" w14:textId="0998282A" w:rsidR="00237C86" w:rsidRPr="00237C86" w:rsidRDefault="00237C86" w:rsidP="009835A8">
      <w:pPr>
        <w:pStyle w:val="ListParagraph"/>
        <w:numPr>
          <w:ilvl w:val="0"/>
          <w:numId w:val="11"/>
        </w:numPr>
      </w:pPr>
      <w:r w:rsidRPr="00237C86">
        <w:t>Service Delivery</w:t>
      </w:r>
      <w:r w:rsidR="00B441E9">
        <w:t xml:space="preserve"> </w:t>
      </w:r>
      <w:r w:rsidRPr="00237C86">
        <w:t>17</w:t>
      </w:r>
    </w:p>
    <w:p w14:paraId="298B2981" w14:textId="77777777" w:rsidR="00237C86" w:rsidRPr="00237C86" w:rsidRDefault="00237C86" w:rsidP="00237C86"/>
    <w:p w14:paraId="5AC3F1E9" w14:textId="344D5757" w:rsidR="00237C86" w:rsidRPr="00237C86" w:rsidRDefault="00B441E9" w:rsidP="00B441E9">
      <w:pPr>
        <w:pStyle w:val="Heading2"/>
      </w:pPr>
      <w:r w:rsidRPr="00237C86">
        <w:t>Metro Trains</w:t>
      </w:r>
      <w:r w:rsidR="00237C86" w:rsidRPr="00237C86">
        <w:tab/>
      </w:r>
    </w:p>
    <w:p w14:paraId="2A244C64" w14:textId="7FFF9BBD" w:rsidR="00237C86" w:rsidRPr="00237C86" w:rsidRDefault="00237C86" w:rsidP="009835A8">
      <w:pPr>
        <w:pStyle w:val="ListParagraph"/>
        <w:numPr>
          <w:ilvl w:val="0"/>
          <w:numId w:val="12"/>
        </w:numPr>
      </w:pPr>
      <w:r w:rsidRPr="00237C86">
        <w:t>Totals</w:t>
      </w:r>
      <w:r w:rsidR="00B441E9">
        <w:t xml:space="preserve"> </w:t>
      </w:r>
      <w:r w:rsidRPr="00237C86">
        <w:t>621</w:t>
      </w:r>
    </w:p>
    <w:p w14:paraId="4D935C83" w14:textId="77429898" w:rsidR="00237C86" w:rsidRPr="00237C86" w:rsidRDefault="00237C86" w:rsidP="009835A8">
      <w:pPr>
        <w:pStyle w:val="ListParagraph"/>
        <w:numPr>
          <w:ilvl w:val="0"/>
          <w:numId w:val="12"/>
        </w:numPr>
      </w:pPr>
      <w:r w:rsidRPr="00237C86">
        <w:t>Investigation</w:t>
      </w:r>
      <w:r w:rsidR="00B441E9">
        <w:t xml:space="preserve"> </w:t>
      </w:r>
      <w:r w:rsidRPr="00237C86">
        <w:t>96</w:t>
      </w:r>
    </w:p>
    <w:p w14:paraId="2950F2AB" w14:textId="75AA66AA" w:rsidR="00237C86" w:rsidRPr="00237C86" w:rsidRDefault="00237C86" w:rsidP="009835A8">
      <w:pPr>
        <w:pStyle w:val="ListParagraph"/>
        <w:numPr>
          <w:ilvl w:val="0"/>
          <w:numId w:val="12"/>
        </w:numPr>
      </w:pPr>
      <w:r w:rsidRPr="00237C86">
        <w:t xml:space="preserve">Member </w:t>
      </w:r>
      <w:r w:rsidR="00B441E9">
        <w:t>–</w:t>
      </w:r>
      <w:r w:rsidRPr="00237C86">
        <w:t xml:space="preserve"> Complaint</w:t>
      </w:r>
      <w:r w:rsidR="00B441E9">
        <w:t xml:space="preserve"> </w:t>
      </w:r>
      <w:r w:rsidRPr="00237C86">
        <w:t>382</w:t>
      </w:r>
    </w:p>
    <w:p w14:paraId="217A653C" w14:textId="76C183AA" w:rsidR="00237C86" w:rsidRPr="00237C86" w:rsidRDefault="00237C86" w:rsidP="009835A8">
      <w:pPr>
        <w:pStyle w:val="ListParagraph"/>
        <w:numPr>
          <w:ilvl w:val="0"/>
          <w:numId w:val="12"/>
        </w:numPr>
      </w:pPr>
      <w:r w:rsidRPr="00237C86">
        <w:t xml:space="preserve">Member </w:t>
      </w:r>
      <w:r w:rsidR="00B441E9">
        <w:t>–</w:t>
      </w:r>
      <w:r w:rsidRPr="00237C86">
        <w:t xml:space="preserve"> Enquiry</w:t>
      </w:r>
      <w:r w:rsidR="00B441E9">
        <w:t xml:space="preserve"> </w:t>
      </w:r>
      <w:r w:rsidRPr="00237C86">
        <w:t>38</w:t>
      </w:r>
    </w:p>
    <w:p w14:paraId="6F8A83D7" w14:textId="24F42252" w:rsidR="00237C86" w:rsidRPr="00237C86" w:rsidRDefault="00237C86" w:rsidP="009835A8">
      <w:pPr>
        <w:pStyle w:val="ListParagraph"/>
        <w:numPr>
          <w:ilvl w:val="0"/>
          <w:numId w:val="12"/>
        </w:numPr>
      </w:pPr>
      <w:r w:rsidRPr="00237C86">
        <w:t xml:space="preserve">Referral </w:t>
      </w:r>
      <w:r w:rsidR="001E629A" w:rsidRPr="00237C86">
        <w:t>for</w:t>
      </w:r>
      <w:r w:rsidRPr="00237C86">
        <w:t xml:space="preserve"> Internal Escalation</w:t>
      </w:r>
      <w:r w:rsidR="00B441E9">
        <w:t xml:space="preserve"> </w:t>
      </w:r>
      <w:r w:rsidRPr="00237C86">
        <w:t>105</w:t>
      </w:r>
    </w:p>
    <w:p w14:paraId="2FF0AF2A" w14:textId="77777777" w:rsidR="00237C86" w:rsidRPr="00237C86" w:rsidRDefault="00237C86" w:rsidP="00B441E9">
      <w:pPr>
        <w:pStyle w:val="Heading3"/>
      </w:pPr>
      <w:r w:rsidRPr="00237C86">
        <w:t>Top Issues</w:t>
      </w:r>
      <w:r w:rsidRPr="00237C86">
        <w:tab/>
      </w:r>
    </w:p>
    <w:p w14:paraId="3F7CB301" w14:textId="44B11F56" w:rsidR="00237C86" w:rsidRPr="00237C86" w:rsidRDefault="00237C86" w:rsidP="009835A8">
      <w:pPr>
        <w:pStyle w:val="ListParagraph"/>
        <w:numPr>
          <w:ilvl w:val="0"/>
          <w:numId w:val="13"/>
        </w:numPr>
      </w:pPr>
      <w:r w:rsidRPr="00237C86">
        <w:t>Service Delivery</w:t>
      </w:r>
      <w:r w:rsidR="001E629A">
        <w:t xml:space="preserve"> </w:t>
      </w:r>
      <w:r w:rsidRPr="00237C86">
        <w:t>590</w:t>
      </w:r>
    </w:p>
    <w:p w14:paraId="2DEBF18D" w14:textId="1BF879F2" w:rsidR="00237C86" w:rsidRPr="00237C86" w:rsidRDefault="00237C86" w:rsidP="009835A8">
      <w:pPr>
        <w:pStyle w:val="ListParagraph"/>
        <w:numPr>
          <w:ilvl w:val="0"/>
          <w:numId w:val="13"/>
        </w:numPr>
      </w:pPr>
      <w:r w:rsidRPr="00237C86">
        <w:t>Staff</w:t>
      </w:r>
      <w:r w:rsidR="001E629A">
        <w:t xml:space="preserve"> </w:t>
      </w:r>
      <w:r w:rsidRPr="00237C86">
        <w:t>338</w:t>
      </w:r>
    </w:p>
    <w:p w14:paraId="4F9E6CF0" w14:textId="7273C209" w:rsidR="00237C86" w:rsidRPr="00237C86" w:rsidRDefault="00237C86" w:rsidP="009835A8">
      <w:pPr>
        <w:pStyle w:val="ListParagraph"/>
        <w:numPr>
          <w:ilvl w:val="0"/>
          <w:numId w:val="13"/>
        </w:numPr>
      </w:pPr>
      <w:r w:rsidRPr="00237C86">
        <w:t>Land and Infrastructure</w:t>
      </w:r>
      <w:r w:rsidR="001E629A">
        <w:t xml:space="preserve"> </w:t>
      </w:r>
      <w:r w:rsidRPr="00237C86">
        <w:t>201</w:t>
      </w:r>
    </w:p>
    <w:p w14:paraId="0BC60E4E" w14:textId="77777777" w:rsidR="00237C86" w:rsidRPr="00237C86" w:rsidRDefault="00237C86" w:rsidP="00237C86"/>
    <w:p w14:paraId="481F7504" w14:textId="207AC85C" w:rsidR="00237C86" w:rsidRPr="00237C86" w:rsidRDefault="001E629A" w:rsidP="001E629A">
      <w:pPr>
        <w:pStyle w:val="Heading2"/>
      </w:pPr>
      <w:r w:rsidRPr="00237C86">
        <w:lastRenderedPageBreak/>
        <w:t>Public Transport Victoria</w:t>
      </w:r>
      <w:r w:rsidRPr="00237C86">
        <w:tab/>
      </w:r>
    </w:p>
    <w:p w14:paraId="79D8FA82" w14:textId="77777777" w:rsidR="00237C86" w:rsidRPr="00237C86" w:rsidRDefault="00237C86" w:rsidP="009835A8">
      <w:pPr>
        <w:pStyle w:val="ListParagraph"/>
        <w:numPr>
          <w:ilvl w:val="0"/>
          <w:numId w:val="14"/>
        </w:numPr>
      </w:pPr>
      <w:r w:rsidRPr="00237C86">
        <w:t>Totals</w:t>
      </w:r>
      <w:r w:rsidRPr="00237C86">
        <w:tab/>
        <w:t>1294</w:t>
      </w:r>
    </w:p>
    <w:p w14:paraId="140F4830" w14:textId="77777777" w:rsidR="00237C86" w:rsidRPr="00237C86" w:rsidRDefault="00237C86" w:rsidP="009835A8">
      <w:pPr>
        <w:pStyle w:val="ListParagraph"/>
        <w:numPr>
          <w:ilvl w:val="0"/>
          <w:numId w:val="14"/>
        </w:numPr>
      </w:pPr>
      <w:r w:rsidRPr="00237C86">
        <w:t>Investigation</w:t>
      </w:r>
      <w:r w:rsidRPr="00237C86">
        <w:tab/>
        <w:t>230</w:t>
      </w:r>
    </w:p>
    <w:p w14:paraId="29510FC3" w14:textId="2AE8D005" w:rsidR="00237C86" w:rsidRPr="00237C86" w:rsidRDefault="00237C86" w:rsidP="009835A8">
      <w:pPr>
        <w:pStyle w:val="ListParagraph"/>
        <w:numPr>
          <w:ilvl w:val="0"/>
          <w:numId w:val="14"/>
        </w:numPr>
      </w:pPr>
      <w:r w:rsidRPr="00237C86">
        <w:t xml:space="preserve">Member </w:t>
      </w:r>
      <w:r w:rsidR="001E629A">
        <w:t>–</w:t>
      </w:r>
      <w:r w:rsidRPr="00237C86">
        <w:t xml:space="preserve"> Complaint</w:t>
      </w:r>
      <w:r w:rsidR="001E629A">
        <w:t xml:space="preserve"> </w:t>
      </w:r>
      <w:r w:rsidRPr="00237C86">
        <w:t>594</w:t>
      </w:r>
    </w:p>
    <w:p w14:paraId="25D679C4" w14:textId="0A95C96F" w:rsidR="00237C86" w:rsidRPr="00237C86" w:rsidRDefault="00237C86" w:rsidP="009835A8">
      <w:pPr>
        <w:pStyle w:val="ListParagraph"/>
        <w:numPr>
          <w:ilvl w:val="0"/>
          <w:numId w:val="14"/>
        </w:numPr>
      </w:pPr>
      <w:r w:rsidRPr="00237C86">
        <w:t xml:space="preserve">Member </w:t>
      </w:r>
      <w:r w:rsidR="001E629A">
        <w:t>–</w:t>
      </w:r>
      <w:r w:rsidRPr="00237C86">
        <w:t xml:space="preserve"> Enquiry</w:t>
      </w:r>
      <w:r w:rsidR="001E629A">
        <w:t xml:space="preserve"> </w:t>
      </w:r>
      <w:r w:rsidRPr="00237C86">
        <w:t>210</w:t>
      </w:r>
    </w:p>
    <w:p w14:paraId="300A2A72" w14:textId="34D7F1F1" w:rsidR="00237C86" w:rsidRPr="00237C86" w:rsidRDefault="00237C86" w:rsidP="009835A8">
      <w:pPr>
        <w:pStyle w:val="ListParagraph"/>
        <w:numPr>
          <w:ilvl w:val="0"/>
          <w:numId w:val="14"/>
        </w:numPr>
      </w:pPr>
      <w:r w:rsidRPr="00237C86">
        <w:t xml:space="preserve">Referral </w:t>
      </w:r>
      <w:r w:rsidR="001E629A" w:rsidRPr="00237C86">
        <w:t>for</w:t>
      </w:r>
      <w:r w:rsidRPr="00237C86">
        <w:t xml:space="preserve"> Internal Escalation</w:t>
      </w:r>
      <w:r w:rsidR="001E629A">
        <w:t xml:space="preserve"> </w:t>
      </w:r>
      <w:r w:rsidRPr="00237C86">
        <w:t>260</w:t>
      </w:r>
    </w:p>
    <w:p w14:paraId="110B33E1" w14:textId="77777777" w:rsidR="00237C86" w:rsidRPr="00237C86" w:rsidRDefault="00237C86" w:rsidP="001E629A">
      <w:pPr>
        <w:pStyle w:val="Heading3"/>
      </w:pPr>
      <w:r w:rsidRPr="00237C86">
        <w:t>Top Issues</w:t>
      </w:r>
      <w:r w:rsidRPr="00237C86">
        <w:tab/>
      </w:r>
    </w:p>
    <w:p w14:paraId="75D1F7C1" w14:textId="62E906F9" w:rsidR="00237C86" w:rsidRPr="00237C86" w:rsidRDefault="001E629A" w:rsidP="009835A8">
      <w:pPr>
        <w:pStyle w:val="ListParagraph"/>
        <w:numPr>
          <w:ilvl w:val="0"/>
          <w:numId w:val="15"/>
        </w:numPr>
      </w:pPr>
      <w:r w:rsidRPr="00237C86">
        <w:t>M</w:t>
      </w:r>
      <w:r w:rsidR="00237C86" w:rsidRPr="00237C86">
        <w:t>yki</w:t>
      </w:r>
      <w:r>
        <w:t xml:space="preserve"> </w:t>
      </w:r>
      <w:r w:rsidR="00237C86" w:rsidRPr="00237C86">
        <w:t>1271</w:t>
      </w:r>
    </w:p>
    <w:p w14:paraId="131AB016" w14:textId="1E132934" w:rsidR="00237C86" w:rsidRPr="00237C86" w:rsidRDefault="00237C86" w:rsidP="009835A8">
      <w:pPr>
        <w:pStyle w:val="ListParagraph"/>
        <w:numPr>
          <w:ilvl w:val="0"/>
          <w:numId w:val="15"/>
        </w:numPr>
      </w:pPr>
      <w:r w:rsidRPr="00237C86">
        <w:t>Staff</w:t>
      </w:r>
      <w:r w:rsidR="001E629A">
        <w:t xml:space="preserve"> </w:t>
      </w:r>
      <w:r w:rsidRPr="00237C86">
        <w:t>654</w:t>
      </w:r>
    </w:p>
    <w:p w14:paraId="01E1F0F8" w14:textId="55AABDA8" w:rsidR="00237C86" w:rsidRPr="00237C86" w:rsidRDefault="00237C86" w:rsidP="009835A8">
      <w:pPr>
        <w:pStyle w:val="ListParagraph"/>
        <w:numPr>
          <w:ilvl w:val="0"/>
          <w:numId w:val="15"/>
        </w:numPr>
      </w:pPr>
      <w:r w:rsidRPr="00237C86">
        <w:t>Service Delivery</w:t>
      </w:r>
      <w:r w:rsidR="001E629A">
        <w:t xml:space="preserve"> </w:t>
      </w:r>
      <w:r w:rsidRPr="00237C86">
        <w:t>235</w:t>
      </w:r>
    </w:p>
    <w:p w14:paraId="53E61DAE" w14:textId="77777777" w:rsidR="00237C86" w:rsidRPr="00237C86" w:rsidRDefault="00237C86" w:rsidP="00237C86"/>
    <w:p w14:paraId="3E0D6FE9" w14:textId="1429957C" w:rsidR="00237C86" w:rsidRPr="00237C86" w:rsidRDefault="001E629A" w:rsidP="001E629A">
      <w:pPr>
        <w:pStyle w:val="Heading2"/>
      </w:pPr>
      <w:r w:rsidRPr="00237C86">
        <w:t>Rail Projects Victoria</w:t>
      </w:r>
      <w:r w:rsidRPr="00237C86">
        <w:tab/>
      </w:r>
    </w:p>
    <w:p w14:paraId="248B0401" w14:textId="77777777" w:rsidR="00237C86" w:rsidRPr="00237C86" w:rsidRDefault="00237C86" w:rsidP="009835A8">
      <w:pPr>
        <w:pStyle w:val="ListParagraph"/>
        <w:numPr>
          <w:ilvl w:val="0"/>
          <w:numId w:val="16"/>
        </w:numPr>
      </w:pPr>
      <w:r w:rsidRPr="00237C86">
        <w:t>Totals</w:t>
      </w:r>
      <w:r w:rsidRPr="00237C86">
        <w:tab/>
        <w:t>30</w:t>
      </w:r>
    </w:p>
    <w:p w14:paraId="04256359" w14:textId="77777777" w:rsidR="00237C86" w:rsidRPr="00237C86" w:rsidRDefault="00237C86" w:rsidP="009835A8">
      <w:pPr>
        <w:pStyle w:val="ListParagraph"/>
        <w:numPr>
          <w:ilvl w:val="0"/>
          <w:numId w:val="16"/>
        </w:numPr>
      </w:pPr>
      <w:r w:rsidRPr="00237C86">
        <w:t>Investigation</w:t>
      </w:r>
      <w:r w:rsidRPr="00237C86">
        <w:tab/>
        <w:t>3</w:t>
      </w:r>
    </w:p>
    <w:p w14:paraId="2960FDAA" w14:textId="7100AF16" w:rsidR="00237C86" w:rsidRPr="00237C86" w:rsidRDefault="00237C86" w:rsidP="009835A8">
      <w:pPr>
        <w:pStyle w:val="ListParagraph"/>
        <w:numPr>
          <w:ilvl w:val="0"/>
          <w:numId w:val="16"/>
        </w:numPr>
      </w:pPr>
      <w:r w:rsidRPr="00237C86">
        <w:t xml:space="preserve">Member </w:t>
      </w:r>
      <w:r w:rsidR="001E629A">
        <w:t>–</w:t>
      </w:r>
      <w:r w:rsidRPr="00237C86">
        <w:t xml:space="preserve"> Complaint</w:t>
      </w:r>
      <w:r w:rsidR="001E629A">
        <w:t xml:space="preserve"> </w:t>
      </w:r>
      <w:r w:rsidRPr="00237C86">
        <w:t>14</w:t>
      </w:r>
    </w:p>
    <w:p w14:paraId="08F01C4E" w14:textId="2F07CBC1" w:rsidR="00237C86" w:rsidRPr="00237C86" w:rsidRDefault="00237C86" w:rsidP="009835A8">
      <w:pPr>
        <w:pStyle w:val="ListParagraph"/>
        <w:numPr>
          <w:ilvl w:val="0"/>
          <w:numId w:val="16"/>
        </w:numPr>
      </w:pPr>
      <w:r w:rsidRPr="00237C86">
        <w:t xml:space="preserve">Member </w:t>
      </w:r>
      <w:r w:rsidR="001E629A">
        <w:t>–</w:t>
      </w:r>
      <w:r w:rsidRPr="00237C86">
        <w:t xml:space="preserve"> Enquiry</w:t>
      </w:r>
      <w:r w:rsidR="001E629A">
        <w:t xml:space="preserve"> </w:t>
      </w:r>
      <w:r w:rsidRPr="00237C86">
        <w:t>2</w:t>
      </w:r>
    </w:p>
    <w:p w14:paraId="7E7AA2FD" w14:textId="4DF88910" w:rsidR="00237C86" w:rsidRPr="00237C86" w:rsidRDefault="00237C86" w:rsidP="009835A8">
      <w:pPr>
        <w:pStyle w:val="ListParagraph"/>
        <w:numPr>
          <w:ilvl w:val="0"/>
          <w:numId w:val="16"/>
        </w:numPr>
      </w:pPr>
      <w:r w:rsidRPr="00237C86">
        <w:t xml:space="preserve">Referral </w:t>
      </w:r>
      <w:proofErr w:type="gramStart"/>
      <w:r w:rsidRPr="00237C86">
        <w:t>For</w:t>
      </w:r>
      <w:proofErr w:type="gramEnd"/>
      <w:r w:rsidRPr="00237C86">
        <w:t xml:space="preserve"> Internal Escalation</w:t>
      </w:r>
      <w:r w:rsidR="001E629A">
        <w:t xml:space="preserve"> </w:t>
      </w:r>
      <w:r w:rsidRPr="00237C86">
        <w:t>11</w:t>
      </w:r>
    </w:p>
    <w:p w14:paraId="41CBCF21" w14:textId="77777777" w:rsidR="00237C86" w:rsidRPr="00237C86" w:rsidRDefault="00237C86" w:rsidP="001E629A">
      <w:pPr>
        <w:pStyle w:val="Heading3"/>
      </w:pPr>
      <w:r w:rsidRPr="00237C86">
        <w:t>Top Issues</w:t>
      </w:r>
      <w:r w:rsidRPr="00237C86">
        <w:tab/>
      </w:r>
    </w:p>
    <w:p w14:paraId="42D5EB59" w14:textId="4C7A9636" w:rsidR="00237C86" w:rsidRPr="00237C86" w:rsidRDefault="00237C86" w:rsidP="009835A8">
      <w:pPr>
        <w:pStyle w:val="ListParagraph"/>
        <w:numPr>
          <w:ilvl w:val="0"/>
          <w:numId w:val="17"/>
        </w:numPr>
      </w:pPr>
      <w:r w:rsidRPr="00237C86">
        <w:t>Land and Infrastructure</w:t>
      </w:r>
      <w:r w:rsidR="001E629A">
        <w:t xml:space="preserve"> </w:t>
      </w:r>
      <w:r w:rsidRPr="00237C86">
        <w:t>26</w:t>
      </w:r>
    </w:p>
    <w:p w14:paraId="23B27E50" w14:textId="06D0B269" w:rsidR="00237C86" w:rsidRPr="00237C86" w:rsidRDefault="00237C86" w:rsidP="009835A8">
      <w:pPr>
        <w:pStyle w:val="ListParagraph"/>
        <w:numPr>
          <w:ilvl w:val="0"/>
          <w:numId w:val="17"/>
        </w:numPr>
      </w:pPr>
      <w:r w:rsidRPr="00237C86">
        <w:t>Staff</w:t>
      </w:r>
      <w:r w:rsidR="001E629A">
        <w:t xml:space="preserve"> </w:t>
      </w:r>
      <w:r w:rsidRPr="00237C86">
        <w:t>22</w:t>
      </w:r>
    </w:p>
    <w:p w14:paraId="11A499C2" w14:textId="77777777" w:rsidR="00237C86" w:rsidRPr="00237C86" w:rsidRDefault="00237C86" w:rsidP="00237C86"/>
    <w:p w14:paraId="72AB6105" w14:textId="06662972" w:rsidR="00237C86" w:rsidRPr="00237C86" w:rsidRDefault="001E629A" w:rsidP="001E629A">
      <w:pPr>
        <w:pStyle w:val="Heading2"/>
      </w:pPr>
      <w:proofErr w:type="spellStart"/>
      <w:r w:rsidRPr="00237C86">
        <w:t>Sky</w:t>
      </w:r>
      <w:r w:rsidR="004A08C9">
        <w:t>B</w:t>
      </w:r>
      <w:r w:rsidRPr="00237C86">
        <w:t>us</w:t>
      </w:r>
      <w:proofErr w:type="spellEnd"/>
      <w:r w:rsidR="00237C86" w:rsidRPr="00237C86">
        <w:tab/>
      </w:r>
    </w:p>
    <w:p w14:paraId="33B5E9D7" w14:textId="77777777" w:rsidR="00237C86" w:rsidRPr="00237C86" w:rsidRDefault="00237C86" w:rsidP="009835A8">
      <w:pPr>
        <w:pStyle w:val="ListParagraph"/>
        <w:numPr>
          <w:ilvl w:val="0"/>
          <w:numId w:val="18"/>
        </w:numPr>
      </w:pPr>
      <w:r w:rsidRPr="00237C86">
        <w:t>Totals</w:t>
      </w:r>
      <w:r w:rsidRPr="00237C86">
        <w:tab/>
        <w:t>35</w:t>
      </w:r>
    </w:p>
    <w:p w14:paraId="64D89BAB" w14:textId="77777777" w:rsidR="00237C86" w:rsidRPr="00237C86" w:rsidRDefault="00237C86" w:rsidP="009835A8">
      <w:pPr>
        <w:pStyle w:val="ListParagraph"/>
        <w:numPr>
          <w:ilvl w:val="0"/>
          <w:numId w:val="18"/>
        </w:numPr>
      </w:pPr>
      <w:r w:rsidRPr="00237C86">
        <w:t>Investigation</w:t>
      </w:r>
      <w:r w:rsidRPr="00237C86">
        <w:tab/>
        <w:t>4</w:t>
      </w:r>
    </w:p>
    <w:p w14:paraId="64D8E2A9" w14:textId="0120B09D" w:rsidR="00237C86" w:rsidRPr="00237C86" w:rsidRDefault="00237C86" w:rsidP="009835A8">
      <w:pPr>
        <w:pStyle w:val="ListParagraph"/>
        <w:numPr>
          <w:ilvl w:val="0"/>
          <w:numId w:val="18"/>
        </w:numPr>
      </w:pPr>
      <w:r w:rsidRPr="00237C86">
        <w:t xml:space="preserve">Member </w:t>
      </w:r>
      <w:r w:rsidR="001E629A">
        <w:t>–</w:t>
      </w:r>
      <w:r w:rsidRPr="00237C86">
        <w:t xml:space="preserve"> Complaint</w:t>
      </w:r>
      <w:r w:rsidR="001E629A">
        <w:t xml:space="preserve"> </w:t>
      </w:r>
      <w:r w:rsidRPr="00237C86">
        <w:t>10</w:t>
      </w:r>
    </w:p>
    <w:p w14:paraId="6F7C4AAD" w14:textId="4E7676D7" w:rsidR="00237C86" w:rsidRPr="00237C86" w:rsidRDefault="00237C86" w:rsidP="009835A8">
      <w:pPr>
        <w:pStyle w:val="ListParagraph"/>
        <w:numPr>
          <w:ilvl w:val="0"/>
          <w:numId w:val="18"/>
        </w:numPr>
      </w:pPr>
      <w:r w:rsidRPr="00237C86">
        <w:t xml:space="preserve">Member </w:t>
      </w:r>
      <w:r w:rsidR="001E629A">
        <w:t>–</w:t>
      </w:r>
      <w:r w:rsidRPr="00237C86">
        <w:t xml:space="preserve"> Enquiry</w:t>
      </w:r>
      <w:r w:rsidR="001E629A">
        <w:t xml:space="preserve"> </w:t>
      </w:r>
      <w:r w:rsidRPr="00237C86">
        <w:t>16</w:t>
      </w:r>
    </w:p>
    <w:p w14:paraId="0E49D486" w14:textId="18ED5E9B" w:rsidR="00237C86" w:rsidRPr="00237C86" w:rsidRDefault="00237C86" w:rsidP="009835A8">
      <w:pPr>
        <w:pStyle w:val="ListParagraph"/>
        <w:numPr>
          <w:ilvl w:val="0"/>
          <w:numId w:val="18"/>
        </w:numPr>
      </w:pPr>
      <w:r w:rsidRPr="00237C86">
        <w:t xml:space="preserve">Referral </w:t>
      </w:r>
      <w:r w:rsidR="001E629A" w:rsidRPr="00237C86">
        <w:t>for</w:t>
      </w:r>
      <w:r w:rsidRPr="00237C86">
        <w:t xml:space="preserve"> Internal Escalation</w:t>
      </w:r>
      <w:r w:rsidR="001E629A">
        <w:t xml:space="preserve"> </w:t>
      </w:r>
      <w:r w:rsidRPr="00237C86">
        <w:t>5</w:t>
      </w:r>
    </w:p>
    <w:p w14:paraId="416ACDF4" w14:textId="77777777" w:rsidR="00237C86" w:rsidRPr="00237C86" w:rsidRDefault="00237C86" w:rsidP="001E629A">
      <w:pPr>
        <w:pStyle w:val="Heading3"/>
      </w:pPr>
      <w:r w:rsidRPr="00237C86">
        <w:t>Top Issues</w:t>
      </w:r>
      <w:r w:rsidRPr="00237C86">
        <w:tab/>
      </w:r>
    </w:p>
    <w:p w14:paraId="396BE91A" w14:textId="43A8A3F6" w:rsidR="00237C86" w:rsidRPr="00237C86" w:rsidRDefault="00237C86" w:rsidP="009835A8">
      <w:pPr>
        <w:pStyle w:val="ListParagraph"/>
        <w:numPr>
          <w:ilvl w:val="0"/>
          <w:numId w:val="19"/>
        </w:numPr>
      </w:pPr>
      <w:r w:rsidRPr="00237C86">
        <w:t>Staff</w:t>
      </w:r>
      <w:r w:rsidR="001E629A">
        <w:t xml:space="preserve"> </w:t>
      </w:r>
      <w:r w:rsidRPr="00237C86">
        <w:t>21</w:t>
      </w:r>
    </w:p>
    <w:p w14:paraId="7BDA4DA7" w14:textId="1A29F7A3" w:rsidR="00237C86" w:rsidRPr="00237C86" w:rsidRDefault="00237C86" w:rsidP="009835A8">
      <w:pPr>
        <w:pStyle w:val="ListParagraph"/>
        <w:numPr>
          <w:ilvl w:val="0"/>
          <w:numId w:val="19"/>
        </w:numPr>
      </w:pPr>
      <w:r w:rsidRPr="00237C86">
        <w:t>Service Delivery</w:t>
      </w:r>
      <w:r w:rsidR="001E629A">
        <w:t xml:space="preserve"> </w:t>
      </w:r>
      <w:r w:rsidRPr="00237C86">
        <w:t>17</w:t>
      </w:r>
    </w:p>
    <w:p w14:paraId="00E1FD41" w14:textId="54DC84A8" w:rsidR="00237C86" w:rsidRDefault="00237C86" w:rsidP="009835A8">
      <w:pPr>
        <w:pStyle w:val="ListParagraph"/>
        <w:numPr>
          <w:ilvl w:val="0"/>
          <w:numId w:val="19"/>
        </w:numPr>
      </w:pPr>
      <w:r w:rsidRPr="00237C86">
        <w:t>Ticketing</w:t>
      </w:r>
      <w:r w:rsidR="001E629A">
        <w:t xml:space="preserve"> </w:t>
      </w:r>
      <w:r w:rsidRPr="00237C86">
        <w:t>15</w:t>
      </w:r>
    </w:p>
    <w:p w14:paraId="2ADA0523" w14:textId="77777777" w:rsidR="001E629A" w:rsidRPr="00237C86" w:rsidRDefault="001E629A" w:rsidP="00237C86"/>
    <w:p w14:paraId="78BD4435" w14:textId="77777777" w:rsidR="00237C86" w:rsidRPr="00237C86" w:rsidRDefault="00237C86" w:rsidP="001E629A">
      <w:pPr>
        <w:pStyle w:val="Heading2"/>
      </w:pPr>
      <w:r w:rsidRPr="00237C86">
        <w:t>Southern cross station</w:t>
      </w:r>
      <w:r w:rsidRPr="00237C86">
        <w:tab/>
      </w:r>
    </w:p>
    <w:p w14:paraId="0FEE9BCB" w14:textId="77777777" w:rsidR="00237C86" w:rsidRPr="00237C86" w:rsidRDefault="00237C86" w:rsidP="009835A8">
      <w:pPr>
        <w:pStyle w:val="ListParagraph"/>
        <w:numPr>
          <w:ilvl w:val="0"/>
          <w:numId w:val="20"/>
        </w:numPr>
      </w:pPr>
      <w:r w:rsidRPr="00237C86">
        <w:t>Totals</w:t>
      </w:r>
      <w:r w:rsidRPr="00237C86">
        <w:tab/>
        <w:t>3</w:t>
      </w:r>
    </w:p>
    <w:p w14:paraId="4FDB8766" w14:textId="010661DE" w:rsidR="00237C86" w:rsidRPr="00237C86" w:rsidRDefault="00237C86" w:rsidP="009835A8">
      <w:pPr>
        <w:pStyle w:val="ListParagraph"/>
        <w:numPr>
          <w:ilvl w:val="0"/>
          <w:numId w:val="20"/>
        </w:numPr>
      </w:pPr>
      <w:r w:rsidRPr="00237C86">
        <w:t xml:space="preserve">Member </w:t>
      </w:r>
      <w:r w:rsidR="001E629A">
        <w:t>–</w:t>
      </w:r>
      <w:r w:rsidRPr="00237C86">
        <w:t xml:space="preserve"> Complaint</w:t>
      </w:r>
      <w:r w:rsidR="001E629A">
        <w:t xml:space="preserve"> </w:t>
      </w:r>
      <w:r w:rsidRPr="00237C86">
        <w:t>1</w:t>
      </w:r>
    </w:p>
    <w:p w14:paraId="33E626ED" w14:textId="24AE5EF7" w:rsidR="00237C86" w:rsidRPr="00237C86" w:rsidRDefault="00237C86" w:rsidP="009835A8">
      <w:pPr>
        <w:pStyle w:val="ListParagraph"/>
        <w:numPr>
          <w:ilvl w:val="0"/>
          <w:numId w:val="20"/>
        </w:numPr>
      </w:pPr>
      <w:r w:rsidRPr="00237C86">
        <w:t xml:space="preserve">Referral </w:t>
      </w:r>
      <w:r w:rsidR="00110022" w:rsidRPr="00237C86">
        <w:t>for</w:t>
      </w:r>
      <w:r w:rsidRPr="00237C86">
        <w:t xml:space="preserve"> Internal Escalation</w:t>
      </w:r>
      <w:r w:rsidR="001E629A">
        <w:t xml:space="preserve"> </w:t>
      </w:r>
      <w:r w:rsidRPr="00237C86">
        <w:t>2</w:t>
      </w:r>
    </w:p>
    <w:p w14:paraId="1F7027E5" w14:textId="77777777" w:rsidR="00237C86" w:rsidRPr="00237C86" w:rsidRDefault="00237C86" w:rsidP="001E629A">
      <w:pPr>
        <w:pStyle w:val="Heading3"/>
      </w:pPr>
      <w:r w:rsidRPr="00237C86">
        <w:lastRenderedPageBreak/>
        <w:t>Top Issues</w:t>
      </w:r>
      <w:r w:rsidRPr="00237C86">
        <w:tab/>
      </w:r>
    </w:p>
    <w:p w14:paraId="2CB72ED8" w14:textId="502A7893" w:rsidR="00237C86" w:rsidRPr="00237C86" w:rsidRDefault="00237C86" w:rsidP="009835A8">
      <w:pPr>
        <w:pStyle w:val="ListParagraph"/>
        <w:numPr>
          <w:ilvl w:val="0"/>
          <w:numId w:val="21"/>
        </w:numPr>
      </w:pPr>
      <w:r w:rsidRPr="00237C86">
        <w:t>Staff</w:t>
      </w:r>
      <w:r w:rsidR="001E629A">
        <w:t xml:space="preserve"> </w:t>
      </w:r>
      <w:r w:rsidRPr="00237C86">
        <w:t>4</w:t>
      </w:r>
    </w:p>
    <w:p w14:paraId="0A8CE638" w14:textId="7594F2A0" w:rsidR="00237C86" w:rsidRPr="00237C86" w:rsidRDefault="00237C86" w:rsidP="009835A8">
      <w:pPr>
        <w:pStyle w:val="ListParagraph"/>
        <w:numPr>
          <w:ilvl w:val="0"/>
          <w:numId w:val="21"/>
        </w:numPr>
      </w:pPr>
      <w:r w:rsidRPr="00237C86">
        <w:t>Land and Infrastructure</w:t>
      </w:r>
      <w:r w:rsidR="001E629A">
        <w:t xml:space="preserve"> </w:t>
      </w:r>
      <w:r w:rsidRPr="00237C86">
        <w:t>2</w:t>
      </w:r>
    </w:p>
    <w:p w14:paraId="5A68AC56" w14:textId="2C51147A" w:rsidR="00237C86" w:rsidRPr="00237C86" w:rsidRDefault="00237C86" w:rsidP="009835A8">
      <w:pPr>
        <w:pStyle w:val="ListParagraph"/>
        <w:numPr>
          <w:ilvl w:val="0"/>
          <w:numId w:val="21"/>
        </w:numPr>
      </w:pPr>
      <w:r w:rsidRPr="00237C86">
        <w:t>Accessibilit</w:t>
      </w:r>
      <w:r w:rsidR="001E629A">
        <w:t xml:space="preserve">y </w:t>
      </w:r>
      <w:r w:rsidRPr="00237C86">
        <w:t>1</w:t>
      </w:r>
    </w:p>
    <w:p w14:paraId="7CA84FB5" w14:textId="77777777" w:rsidR="00237C86" w:rsidRPr="00237C86" w:rsidRDefault="00237C86" w:rsidP="00237C86"/>
    <w:p w14:paraId="6006C53E" w14:textId="77777777" w:rsidR="00237C86" w:rsidRPr="00237C86" w:rsidRDefault="00237C86" w:rsidP="00110022">
      <w:pPr>
        <w:pStyle w:val="Heading2"/>
      </w:pPr>
      <w:r w:rsidRPr="00237C86">
        <w:t>Transdev</w:t>
      </w:r>
      <w:r w:rsidRPr="00237C86">
        <w:tab/>
      </w:r>
    </w:p>
    <w:p w14:paraId="7EC9CA57" w14:textId="77777777" w:rsidR="00237C86" w:rsidRPr="00237C86" w:rsidRDefault="00237C86" w:rsidP="009835A8">
      <w:pPr>
        <w:pStyle w:val="ListParagraph"/>
        <w:numPr>
          <w:ilvl w:val="0"/>
          <w:numId w:val="22"/>
        </w:numPr>
      </w:pPr>
      <w:r w:rsidRPr="00237C86">
        <w:t>Totals</w:t>
      </w:r>
      <w:r w:rsidRPr="00237C86">
        <w:tab/>
        <w:t>198</w:t>
      </w:r>
    </w:p>
    <w:p w14:paraId="1E645E40" w14:textId="77777777" w:rsidR="00237C86" w:rsidRPr="00237C86" w:rsidRDefault="00237C86" w:rsidP="009835A8">
      <w:pPr>
        <w:pStyle w:val="ListParagraph"/>
        <w:numPr>
          <w:ilvl w:val="0"/>
          <w:numId w:val="22"/>
        </w:numPr>
      </w:pPr>
      <w:r w:rsidRPr="00237C86">
        <w:t>Investigation</w:t>
      </w:r>
      <w:r w:rsidRPr="00237C86">
        <w:tab/>
        <w:t>33</w:t>
      </w:r>
    </w:p>
    <w:p w14:paraId="0B806D6F" w14:textId="7E5C1F0F" w:rsidR="00237C86" w:rsidRPr="00237C86" w:rsidRDefault="00237C86" w:rsidP="009835A8">
      <w:pPr>
        <w:pStyle w:val="ListParagraph"/>
        <w:numPr>
          <w:ilvl w:val="0"/>
          <w:numId w:val="22"/>
        </w:numPr>
      </w:pPr>
      <w:r w:rsidRPr="00237C86">
        <w:t xml:space="preserve">Member </w:t>
      </w:r>
      <w:r w:rsidR="00110022">
        <w:t>–</w:t>
      </w:r>
      <w:r w:rsidRPr="00237C86">
        <w:t xml:space="preserve"> Complaint</w:t>
      </w:r>
      <w:r w:rsidR="00110022">
        <w:t xml:space="preserve"> </w:t>
      </w:r>
      <w:r w:rsidRPr="00237C86">
        <w:t>113</w:t>
      </w:r>
    </w:p>
    <w:p w14:paraId="58F2E6EE" w14:textId="498B8CF5" w:rsidR="00237C86" w:rsidRPr="00237C86" w:rsidRDefault="00237C86" w:rsidP="009835A8">
      <w:pPr>
        <w:pStyle w:val="ListParagraph"/>
        <w:numPr>
          <w:ilvl w:val="0"/>
          <w:numId w:val="22"/>
        </w:numPr>
      </w:pPr>
      <w:r w:rsidRPr="00237C86">
        <w:t xml:space="preserve">Member </w:t>
      </w:r>
      <w:r w:rsidR="00110022">
        <w:t>–</w:t>
      </w:r>
      <w:r w:rsidRPr="00237C86">
        <w:t xml:space="preserve"> Enquiry</w:t>
      </w:r>
      <w:r w:rsidR="00110022">
        <w:t xml:space="preserve"> </w:t>
      </w:r>
      <w:r w:rsidRPr="00237C86">
        <w:t>24</w:t>
      </w:r>
    </w:p>
    <w:p w14:paraId="79922DB8" w14:textId="0BF19A02" w:rsidR="00237C86" w:rsidRPr="00237C86" w:rsidRDefault="00237C86" w:rsidP="009835A8">
      <w:pPr>
        <w:pStyle w:val="ListParagraph"/>
        <w:numPr>
          <w:ilvl w:val="0"/>
          <w:numId w:val="22"/>
        </w:numPr>
      </w:pPr>
      <w:r w:rsidRPr="00237C86">
        <w:t xml:space="preserve">Referral </w:t>
      </w:r>
      <w:r w:rsidR="00110022" w:rsidRPr="00237C86">
        <w:t>for</w:t>
      </w:r>
      <w:r w:rsidRPr="00237C86">
        <w:t xml:space="preserve"> Internal Escalation</w:t>
      </w:r>
      <w:r w:rsidR="00110022">
        <w:t xml:space="preserve"> </w:t>
      </w:r>
      <w:r w:rsidRPr="00237C86">
        <w:t>28</w:t>
      </w:r>
    </w:p>
    <w:p w14:paraId="77F0F64F" w14:textId="77777777" w:rsidR="00237C86" w:rsidRPr="00237C86" w:rsidRDefault="00237C86" w:rsidP="00110022">
      <w:pPr>
        <w:pStyle w:val="Heading3"/>
      </w:pPr>
      <w:r w:rsidRPr="00237C86">
        <w:t>Top Issues</w:t>
      </w:r>
      <w:r w:rsidRPr="00237C86">
        <w:tab/>
      </w:r>
    </w:p>
    <w:p w14:paraId="72262850" w14:textId="170C6F0E" w:rsidR="00237C86" w:rsidRPr="00237C86" w:rsidRDefault="00237C86" w:rsidP="009835A8">
      <w:pPr>
        <w:pStyle w:val="ListParagraph"/>
        <w:numPr>
          <w:ilvl w:val="0"/>
          <w:numId w:val="23"/>
        </w:numPr>
      </w:pPr>
      <w:r w:rsidRPr="00237C86">
        <w:t>Staff</w:t>
      </w:r>
      <w:r w:rsidR="00110022">
        <w:t xml:space="preserve"> </w:t>
      </w:r>
      <w:r w:rsidRPr="00237C86">
        <w:t>177</w:t>
      </w:r>
    </w:p>
    <w:p w14:paraId="3CE56964" w14:textId="3ADF5935" w:rsidR="00237C86" w:rsidRPr="00237C86" w:rsidRDefault="00237C86" w:rsidP="009835A8">
      <w:pPr>
        <w:pStyle w:val="ListParagraph"/>
        <w:numPr>
          <w:ilvl w:val="0"/>
          <w:numId w:val="23"/>
        </w:numPr>
      </w:pPr>
      <w:r w:rsidRPr="00237C86">
        <w:t>Service Delivery</w:t>
      </w:r>
      <w:r w:rsidR="00110022">
        <w:t xml:space="preserve"> </w:t>
      </w:r>
      <w:r w:rsidRPr="00237C86">
        <w:t>159</w:t>
      </w:r>
    </w:p>
    <w:p w14:paraId="4809038F" w14:textId="77777777" w:rsidR="00237C86" w:rsidRPr="00237C86" w:rsidRDefault="00237C86" w:rsidP="009835A8">
      <w:pPr>
        <w:pStyle w:val="ListParagraph"/>
        <w:numPr>
          <w:ilvl w:val="0"/>
          <w:numId w:val="23"/>
        </w:numPr>
      </w:pPr>
      <w:r w:rsidRPr="00237C86">
        <w:t>Buses</w:t>
      </w:r>
      <w:r w:rsidRPr="00237C86">
        <w:tab/>
        <w:t>62</w:t>
      </w:r>
    </w:p>
    <w:p w14:paraId="1CDA63D0" w14:textId="77777777" w:rsidR="00237C86" w:rsidRPr="00237C86" w:rsidRDefault="00237C86" w:rsidP="00237C86"/>
    <w:p w14:paraId="0133D465" w14:textId="6B4588D3" w:rsidR="00237C86" w:rsidRPr="00237C86" w:rsidRDefault="00110022" w:rsidP="00110022">
      <w:pPr>
        <w:pStyle w:val="Heading2"/>
      </w:pPr>
      <w:proofErr w:type="spellStart"/>
      <w:r w:rsidRPr="00110022">
        <w:t>Vic</w:t>
      </w:r>
      <w:r w:rsidR="004A08C9">
        <w:t>T</w:t>
      </w:r>
      <w:r w:rsidRPr="00110022">
        <w:t>rack</w:t>
      </w:r>
      <w:proofErr w:type="spellEnd"/>
      <w:r w:rsidR="00237C86" w:rsidRPr="00237C86">
        <w:tab/>
      </w:r>
    </w:p>
    <w:p w14:paraId="3C67D226" w14:textId="77777777" w:rsidR="00237C86" w:rsidRPr="00237C86" w:rsidRDefault="00237C86" w:rsidP="009835A8">
      <w:pPr>
        <w:pStyle w:val="ListParagraph"/>
        <w:numPr>
          <w:ilvl w:val="0"/>
          <w:numId w:val="24"/>
        </w:numPr>
      </w:pPr>
      <w:r w:rsidRPr="00237C86">
        <w:t>Totals</w:t>
      </w:r>
      <w:r w:rsidRPr="00237C86">
        <w:tab/>
        <w:t>10</w:t>
      </w:r>
    </w:p>
    <w:p w14:paraId="75F5E321" w14:textId="77777777" w:rsidR="00237C86" w:rsidRPr="00237C86" w:rsidRDefault="00237C86" w:rsidP="009835A8">
      <w:pPr>
        <w:pStyle w:val="ListParagraph"/>
        <w:numPr>
          <w:ilvl w:val="0"/>
          <w:numId w:val="24"/>
        </w:numPr>
      </w:pPr>
      <w:r w:rsidRPr="00237C86">
        <w:t>Investigation</w:t>
      </w:r>
      <w:r w:rsidRPr="00237C86">
        <w:tab/>
        <w:t>2</w:t>
      </w:r>
    </w:p>
    <w:p w14:paraId="751760CC" w14:textId="55A4EA77" w:rsidR="00237C86" w:rsidRPr="00237C86" w:rsidRDefault="00237C86" w:rsidP="009835A8">
      <w:pPr>
        <w:pStyle w:val="ListParagraph"/>
        <w:numPr>
          <w:ilvl w:val="0"/>
          <w:numId w:val="24"/>
        </w:numPr>
      </w:pPr>
      <w:r w:rsidRPr="00237C86">
        <w:t xml:space="preserve">Member </w:t>
      </w:r>
      <w:r w:rsidR="00110022">
        <w:t>–</w:t>
      </w:r>
      <w:r w:rsidRPr="00237C86">
        <w:t xml:space="preserve"> Complaint</w:t>
      </w:r>
      <w:r w:rsidR="00110022">
        <w:t xml:space="preserve"> </w:t>
      </w:r>
      <w:r w:rsidRPr="00237C86">
        <w:t>3</w:t>
      </w:r>
    </w:p>
    <w:p w14:paraId="1CE95D09" w14:textId="237C89F3" w:rsidR="00237C86" w:rsidRPr="00237C86" w:rsidRDefault="00237C86" w:rsidP="009835A8">
      <w:pPr>
        <w:pStyle w:val="ListParagraph"/>
        <w:numPr>
          <w:ilvl w:val="0"/>
          <w:numId w:val="24"/>
        </w:numPr>
      </w:pPr>
      <w:r w:rsidRPr="00237C86">
        <w:t xml:space="preserve">Member </w:t>
      </w:r>
      <w:r w:rsidR="00110022">
        <w:t>–</w:t>
      </w:r>
      <w:r w:rsidRPr="00237C86">
        <w:t xml:space="preserve"> Enquiry</w:t>
      </w:r>
      <w:r w:rsidR="00110022">
        <w:t xml:space="preserve"> </w:t>
      </w:r>
      <w:r w:rsidRPr="00237C86">
        <w:t>1</w:t>
      </w:r>
    </w:p>
    <w:p w14:paraId="3FA2DD8A" w14:textId="66E41A19" w:rsidR="00237C86" w:rsidRPr="00237C86" w:rsidRDefault="00237C86" w:rsidP="009835A8">
      <w:pPr>
        <w:pStyle w:val="ListParagraph"/>
        <w:numPr>
          <w:ilvl w:val="0"/>
          <w:numId w:val="24"/>
        </w:numPr>
      </w:pPr>
      <w:r w:rsidRPr="00237C86">
        <w:t xml:space="preserve">Referral </w:t>
      </w:r>
      <w:r w:rsidR="00110022">
        <w:t>f</w:t>
      </w:r>
      <w:r w:rsidRPr="00237C86">
        <w:t>or Internal Escalation</w:t>
      </w:r>
      <w:r w:rsidR="00110022">
        <w:t xml:space="preserve"> </w:t>
      </w:r>
      <w:r w:rsidRPr="00237C86">
        <w:t>4</w:t>
      </w:r>
    </w:p>
    <w:p w14:paraId="6619C49B" w14:textId="77777777" w:rsidR="00237C86" w:rsidRPr="00237C86" w:rsidRDefault="00237C86" w:rsidP="00110022">
      <w:pPr>
        <w:pStyle w:val="Heading3"/>
      </w:pPr>
      <w:r w:rsidRPr="00237C86">
        <w:t>Top Issues</w:t>
      </w:r>
      <w:r w:rsidRPr="00237C86">
        <w:tab/>
      </w:r>
    </w:p>
    <w:p w14:paraId="05986779" w14:textId="01CEDAD6" w:rsidR="00237C86" w:rsidRPr="00237C86" w:rsidRDefault="00237C86" w:rsidP="009835A8">
      <w:pPr>
        <w:pStyle w:val="ListParagraph"/>
        <w:numPr>
          <w:ilvl w:val="0"/>
          <w:numId w:val="25"/>
        </w:numPr>
      </w:pPr>
      <w:r w:rsidRPr="00237C86">
        <w:t>Land and Infrastructure</w:t>
      </w:r>
      <w:r w:rsidR="00110022">
        <w:t xml:space="preserve"> </w:t>
      </w:r>
      <w:r w:rsidRPr="00237C86">
        <w:t>8</w:t>
      </w:r>
    </w:p>
    <w:p w14:paraId="42C6356B" w14:textId="65F807C7" w:rsidR="00237C86" w:rsidRPr="00237C86" w:rsidRDefault="00237C86" w:rsidP="009835A8">
      <w:pPr>
        <w:pStyle w:val="ListParagraph"/>
        <w:numPr>
          <w:ilvl w:val="0"/>
          <w:numId w:val="25"/>
        </w:numPr>
      </w:pPr>
      <w:r w:rsidRPr="00237C86">
        <w:t>Staff</w:t>
      </w:r>
      <w:r w:rsidR="00110022">
        <w:t xml:space="preserve"> </w:t>
      </w:r>
      <w:r w:rsidRPr="00237C86">
        <w:t>3</w:t>
      </w:r>
    </w:p>
    <w:p w14:paraId="48FC2702" w14:textId="77777777" w:rsidR="00237C86" w:rsidRPr="00237C86" w:rsidRDefault="00237C86" w:rsidP="00237C86"/>
    <w:p w14:paraId="0C71491A" w14:textId="77777777" w:rsidR="00237C86" w:rsidRPr="00237C86" w:rsidRDefault="00237C86" w:rsidP="00110022">
      <w:pPr>
        <w:pStyle w:val="Heading2"/>
      </w:pPr>
      <w:r w:rsidRPr="00237C86">
        <w:t>V/Line</w:t>
      </w:r>
      <w:r w:rsidRPr="00237C86">
        <w:tab/>
      </w:r>
    </w:p>
    <w:p w14:paraId="710E27F5" w14:textId="77777777" w:rsidR="00237C86" w:rsidRPr="00237C86" w:rsidRDefault="00237C86" w:rsidP="009835A8">
      <w:pPr>
        <w:pStyle w:val="ListParagraph"/>
        <w:numPr>
          <w:ilvl w:val="0"/>
          <w:numId w:val="26"/>
        </w:numPr>
      </w:pPr>
      <w:r w:rsidRPr="00237C86">
        <w:t>Totals</w:t>
      </w:r>
      <w:r w:rsidRPr="00237C86">
        <w:tab/>
        <w:t>350</w:t>
      </w:r>
    </w:p>
    <w:p w14:paraId="471FE714" w14:textId="77777777" w:rsidR="00237C86" w:rsidRPr="00237C86" w:rsidRDefault="00237C86" w:rsidP="009835A8">
      <w:pPr>
        <w:pStyle w:val="ListParagraph"/>
        <w:numPr>
          <w:ilvl w:val="0"/>
          <w:numId w:val="26"/>
        </w:numPr>
      </w:pPr>
      <w:r w:rsidRPr="00237C86">
        <w:t>Investigation</w:t>
      </w:r>
      <w:r w:rsidRPr="00237C86">
        <w:tab/>
        <w:t>77</w:t>
      </w:r>
    </w:p>
    <w:p w14:paraId="2DF0B485" w14:textId="06317250" w:rsidR="00237C86" w:rsidRPr="00237C86" w:rsidRDefault="00237C86" w:rsidP="009835A8">
      <w:pPr>
        <w:pStyle w:val="ListParagraph"/>
        <w:numPr>
          <w:ilvl w:val="0"/>
          <w:numId w:val="26"/>
        </w:numPr>
      </w:pPr>
      <w:r w:rsidRPr="00237C86">
        <w:t xml:space="preserve">Member </w:t>
      </w:r>
      <w:r w:rsidR="00110022">
        <w:t>–</w:t>
      </w:r>
      <w:r w:rsidRPr="00237C86">
        <w:t xml:space="preserve"> Complaint</w:t>
      </w:r>
      <w:r w:rsidR="00110022">
        <w:t xml:space="preserve"> </w:t>
      </w:r>
      <w:r w:rsidRPr="00237C86">
        <w:t>163</w:t>
      </w:r>
    </w:p>
    <w:p w14:paraId="064A2C62" w14:textId="6CEE510A" w:rsidR="00237C86" w:rsidRPr="00237C86" w:rsidRDefault="00237C86" w:rsidP="009835A8">
      <w:pPr>
        <w:pStyle w:val="ListParagraph"/>
        <w:numPr>
          <w:ilvl w:val="0"/>
          <w:numId w:val="26"/>
        </w:numPr>
      </w:pPr>
      <w:r w:rsidRPr="00237C86">
        <w:t xml:space="preserve">Member </w:t>
      </w:r>
      <w:r w:rsidR="00110022">
        <w:t>–</w:t>
      </w:r>
      <w:r w:rsidRPr="00237C86">
        <w:t xml:space="preserve"> Enquiry</w:t>
      </w:r>
      <w:r w:rsidR="00110022">
        <w:t xml:space="preserve"> </w:t>
      </w:r>
      <w:r w:rsidRPr="00237C86">
        <w:t>25</w:t>
      </w:r>
    </w:p>
    <w:p w14:paraId="66956BD0" w14:textId="37548D30" w:rsidR="00237C86" w:rsidRPr="00237C86" w:rsidRDefault="00237C86" w:rsidP="009835A8">
      <w:pPr>
        <w:pStyle w:val="ListParagraph"/>
        <w:numPr>
          <w:ilvl w:val="0"/>
          <w:numId w:val="26"/>
        </w:numPr>
      </w:pPr>
      <w:r w:rsidRPr="00237C86">
        <w:t xml:space="preserve">Referral </w:t>
      </w:r>
      <w:r w:rsidR="00110022" w:rsidRPr="00237C86">
        <w:t>for</w:t>
      </w:r>
      <w:r w:rsidRPr="00237C86">
        <w:t xml:space="preserve"> Internal Escalation</w:t>
      </w:r>
      <w:r w:rsidR="00110022">
        <w:t xml:space="preserve"> </w:t>
      </w:r>
      <w:r w:rsidRPr="00237C86">
        <w:t>85</w:t>
      </w:r>
    </w:p>
    <w:p w14:paraId="0D55FDF5" w14:textId="77777777" w:rsidR="00237C86" w:rsidRPr="00237C86" w:rsidRDefault="00237C86" w:rsidP="00110022">
      <w:pPr>
        <w:pStyle w:val="Heading3"/>
      </w:pPr>
      <w:r w:rsidRPr="00237C86">
        <w:t>Top Issues</w:t>
      </w:r>
      <w:r w:rsidRPr="00237C86">
        <w:tab/>
      </w:r>
    </w:p>
    <w:p w14:paraId="36FC48FE" w14:textId="4D09E8BA" w:rsidR="00237C86" w:rsidRPr="00237C86" w:rsidRDefault="00237C86" w:rsidP="009835A8">
      <w:pPr>
        <w:pStyle w:val="ListParagraph"/>
        <w:numPr>
          <w:ilvl w:val="0"/>
          <w:numId w:val="27"/>
        </w:numPr>
      </w:pPr>
      <w:r w:rsidRPr="00237C86">
        <w:t>Service Delivery</w:t>
      </w:r>
      <w:r w:rsidR="00110022">
        <w:t xml:space="preserve"> </w:t>
      </w:r>
      <w:r w:rsidRPr="00237C86">
        <w:t>365</w:t>
      </w:r>
    </w:p>
    <w:p w14:paraId="0788F977" w14:textId="68B7D2F6" w:rsidR="00237C86" w:rsidRPr="00237C86" w:rsidRDefault="00237C86" w:rsidP="009835A8">
      <w:pPr>
        <w:pStyle w:val="ListParagraph"/>
        <w:numPr>
          <w:ilvl w:val="0"/>
          <w:numId w:val="27"/>
        </w:numPr>
      </w:pPr>
      <w:r w:rsidRPr="00237C86">
        <w:t>Staff</w:t>
      </w:r>
      <w:r w:rsidR="00110022">
        <w:t xml:space="preserve"> </w:t>
      </w:r>
      <w:r w:rsidRPr="00237C86">
        <w:t>267</w:t>
      </w:r>
    </w:p>
    <w:p w14:paraId="4EF8189D" w14:textId="2F50A94D" w:rsidR="00237C86" w:rsidRPr="00237C86" w:rsidRDefault="00237C86" w:rsidP="009835A8">
      <w:pPr>
        <w:pStyle w:val="ListParagraph"/>
        <w:numPr>
          <w:ilvl w:val="0"/>
          <w:numId w:val="27"/>
        </w:numPr>
      </w:pPr>
      <w:r w:rsidRPr="00237C86">
        <w:t>Trains and Coaches</w:t>
      </w:r>
      <w:r w:rsidRPr="00237C86">
        <w:tab/>
        <w:t>68</w:t>
      </w:r>
    </w:p>
    <w:p w14:paraId="1ED52B75" w14:textId="77777777" w:rsidR="00237C86" w:rsidRPr="00237C86" w:rsidRDefault="00237C86" w:rsidP="00237C86"/>
    <w:p w14:paraId="72F0FAF9" w14:textId="5C6BFE61" w:rsidR="00237C86" w:rsidRPr="00237C86" w:rsidRDefault="00110022" w:rsidP="00110022">
      <w:pPr>
        <w:pStyle w:val="Heading2"/>
      </w:pPr>
      <w:r w:rsidRPr="00237C86">
        <w:t>Yarra Trams</w:t>
      </w:r>
      <w:r w:rsidRPr="00237C86">
        <w:tab/>
      </w:r>
    </w:p>
    <w:p w14:paraId="21D909A3" w14:textId="77777777" w:rsidR="00237C86" w:rsidRPr="00237C86" w:rsidRDefault="00237C86" w:rsidP="009835A8">
      <w:pPr>
        <w:pStyle w:val="ListParagraph"/>
        <w:numPr>
          <w:ilvl w:val="0"/>
          <w:numId w:val="28"/>
        </w:numPr>
      </w:pPr>
      <w:r w:rsidRPr="00237C86">
        <w:t>Totals</w:t>
      </w:r>
      <w:r w:rsidRPr="00237C86">
        <w:tab/>
        <w:t>287</w:t>
      </w:r>
    </w:p>
    <w:p w14:paraId="1E536A57" w14:textId="77777777" w:rsidR="00237C86" w:rsidRPr="00237C86" w:rsidRDefault="00237C86" w:rsidP="009835A8">
      <w:pPr>
        <w:pStyle w:val="ListParagraph"/>
        <w:numPr>
          <w:ilvl w:val="0"/>
          <w:numId w:val="28"/>
        </w:numPr>
      </w:pPr>
      <w:r w:rsidRPr="00237C86">
        <w:t>Investigation</w:t>
      </w:r>
      <w:r w:rsidRPr="00237C86">
        <w:tab/>
        <w:t>43</w:t>
      </w:r>
    </w:p>
    <w:p w14:paraId="012340F5" w14:textId="742B3327" w:rsidR="00237C86" w:rsidRPr="00237C86" w:rsidRDefault="00237C86" w:rsidP="009835A8">
      <w:pPr>
        <w:pStyle w:val="ListParagraph"/>
        <w:numPr>
          <w:ilvl w:val="0"/>
          <w:numId w:val="28"/>
        </w:numPr>
      </w:pPr>
      <w:r w:rsidRPr="00237C86">
        <w:t xml:space="preserve">Member </w:t>
      </w:r>
      <w:r w:rsidR="00110022">
        <w:t>–</w:t>
      </w:r>
      <w:r w:rsidRPr="00237C86">
        <w:t xml:space="preserve"> Complaint</w:t>
      </w:r>
      <w:r w:rsidR="00110022">
        <w:t xml:space="preserve"> </w:t>
      </w:r>
      <w:r w:rsidRPr="00237C86">
        <w:t>158</w:t>
      </w:r>
    </w:p>
    <w:p w14:paraId="407FB711" w14:textId="3C726FCE" w:rsidR="00237C86" w:rsidRPr="00237C86" w:rsidRDefault="00237C86" w:rsidP="009835A8">
      <w:pPr>
        <w:pStyle w:val="ListParagraph"/>
        <w:numPr>
          <w:ilvl w:val="0"/>
          <w:numId w:val="28"/>
        </w:numPr>
      </w:pPr>
      <w:r w:rsidRPr="00237C86">
        <w:t xml:space="preserve">Member </w:t>
      </w:r>
      <w:r w:rsidR="00110022">
        <w:t>–</w:t>
      </w:r>
      <w:r w:rsidRPr="00237C86">
        <w:t xml:space="preserve"> Enquiry</w:t>
      </w:r>
      <w:r w:rsidR="00110022">
        <w:t xml:space="preserve"> </w:t>
      </w:r>
      <w:r w:rsidRPr="00237C86">
        <w:t>24</w:t>
      </w:r>
    </w:p>
    <w:p w14:paraId="7E9EECA0" w14:textId="36CC240F" w:rsidR="00237C86" w:rsidRPr="00237C86" w:rsidRDefault="00237C86" w:rsidP="009835A8">
      <w:pPr>
        <w:pStyle w:val="ListParagraph"/>
        <w:numPr>
          <w:ilvl w:val="0"/>
          <w:numId w:val="28"/>
        </w:numPr>
      </w:pPr>
      <w:r w:rsidRPr="00237C86">
        <w:t xml:space="preserve">Referral </w:t>
      </w:r>
      <w:r w:rsidR="00110022" w:rsidRPr="00237C86">
        <w:t>for</w:t>
      </w:r>
      <w:r w:rsidRPr="00237C86">
        <w:t xml:space="preserve"> Internal Escalation</w:t>
      </w:r>
      <w:r w:rsidR="00110022">
        <w:t xml:space="preserve"> </w:t>
      </w:r>
      <w:r w:rsidRPr="00237C86">
        <w:t>62</w:t>
      </w:r>
    </w:p>
    <w:p w14:paraId="31E8BF8B" w14:textId="77777777" w:rsidR="00237C86" w:rsidRPr="00237C86" w:rsidRDefault="00237C86" w:rsidP="00110022">
      <w:pPr>
        <w:pStyle w:val="Heading3"/>
      </w:pPr>
      <w:r w:rsidRPr="00237C86">
        <w:t>Top Issues</w:t>
      </w:r>
      <w:r w:rsidRPr="00237C86">
        <w:tab/>
      </w:r>
    </w:p>
    <w:p w14:paraId="4909166E" w14:textId="5CF697BC" w:rsidR="00237C86" w:rsidRPr="00237C86" w:rsidRDefault="00237C86" w:rsidP="009835A8">
      <w:pPr>
        <w:pStyle w:val="ListParagraph"/>
        <w:numPr>
          <w:ilvl w:val="0"/>
          <w:numId w:val="29"/>
        </w:numPr>
      </w:pPr>
      <w:r w:rsidRPr="00237C86">
        <w:t>Service Delivery</w:t>
      </w:r>
      <w:r w:rsidR="00110022">
        <w:t xml:space="preserve"> </w:t>
      </w:r>
      <w:r w:rsidRPr="00237C86">
        <w:t>212</w:t>
      </w:r>
    </w:p>
    <w:p w14:paraId="7E69E0C8" w14:textId="77777777" w:rsidR="00EA79ED" w:rsidRDefault="00237C86" w:rsidP="009835A8">
      <w:pPr>
        <w:pStyle w:val="ListParagraph"/>
        <w:numPr>
          <w:ilvl w:val="0"/>
          <w:numId w:val="29"/>
        </w:numPr>
      </w:pPr>
      <w:r w:rsidRPr="00237C86">
        <w:t>Staff</w:t>
      </w:r>
      <w:r w:rsidR="00110022">
        <w:t xml:space="preserve"> </w:t>
      </w:r>
      <w:r w:rsidRPr="00237C86">
        <w:t>129</w:t>
      </w:r>
    </w:p>
    <w:p w14:paraId="25B8C86F" w14:textId="77CFEAA6" w:rsidR="00EA79ED" w:rsidRPr="00EA79ED" w:rsidRDefault="00237C86" w:rsidP="009835A8">
      <w:pPr>
        <w:pStyle w:val="ListParagraph"/>
        <w:numPr>
          <w:ilvl w:val="0"/>
          <w:numId w:val="29"/>
        </w:numPr>
      </w:pPr>
      <w:r w:rsidRPr="00237C86">
        <w:t>Trams</w:t>
      </w:r>
      <w:r w:rsidRPr="00237C86">
        <w:tab/>
        <w:t xml:space="preserve">95 </w:t>
      </w:r>
    </w:p>
    <w:p w14:paraId="39A70553" w14:textId="36F9BC47" w:rsidR="00237C86" w:rsidRPr="00EA79ED" w:rsidRDefault="00237C86" w:rsidP="009835A8">
      <w:pPr>
        <w:pStyle w:val="ListParagraph"/>
        <w:numPr>
          <w:ilvl w:val="0"/>
          <w:numId w:val="29"/>
        </w:numPr>
        <w:rPr>
          <w:b/>
          <w:bCs/>
          <w:sz w:val="36"/>
          <w:szCs w:val="52"/>
        </w:rPr>
      </w:pPr>
      <w:r>
        <w:br w:type="page"/>
      </w:r>
    </w:p>
    <w:p w14:paraId="1680D354" w14:textId="79E74DF7" w:rsidR="00B21EE7" w:rsidRPr="007C0085" w:rsidRDefault="00E74C3A" w:rsidP="001C0EE6">
      <w:pPr>
        <w:pStyle w:val="Heading1"/>
      </w:pPr>
      <w:r w:rsidRPr="007C0085">
        <w:lastRenderedPageBreak/>
        <w:t>SUMMARY FINANCIAL REPORT</w:t>
      </w:r>
    </w:p>
    <w:p w14:paraId="74FBA6BC" w14:textId="3A6EAF2A" w:rsidR="00E74C3A" w:rsidRPr="00D74F80" w:rsidRDefault="00572185" w:rsidP="00D74F80">
      <w:pPr>
        <w:rPr>
          <w:lang w:val="en-GB"/>
        </w:rPr>
      </w:pPr>
      <w:r w:rsidRPr="00572185">
        <w:rPr>
          <w:lang w:val="en-GB"/>
        </w:rPr>
        <w:t xml:space="preserve">The following is a concise version of the Financial Report for the Public Transport Ombudsman Ltd. for the year ending 30 June 2019. The financial statements and specific disclosures contained in this concise financial report have been derived from the full financial report and the concise financial report cannot be expected to provide as full an understanding of the financial performance, financial position and financing and investing activities of the entity as the financial report. </w:t>
      </w:r>
    </w:p>
    <w:p w14:paraId="2DCFB346" w14:textId="78B5E413" w:rsidR="00B21EE7" w:rsidRPr="007C0085" w:rsidRDefault="00B21EE7" w:rsidP="001C0EE6">
      <w:pPr>
        <w:pStyle w:val="Heading2"/>
        <w:rPr>
          <w:bCs/>
          <w:lang w:val="en-US"/>
        </w:rPr>
      </w:pPr>
      <w:r w:rsidRPr="007C0085">
        <w:rPr>
          <w:lang w:val="en-US"/>
        </w:rPr>
        <w:t>Discussion and analysis of the Comprehensive Income Statement</w:t>
      </w:r>
    </w:p>
    <w:p w14:paraId="141D58CD" w14:textId="77777777" w:rsidR="00B21EE7" w:rsidRPr="007C0085" w:rsidRDefault="00B21EE7" w:rsidP="001C0EE6">
      <w:pPr>
        <w:pStyle w:val="Heading3"/>
      </w:pPr>
      <w:r w:rsidRPr="007C0085">
        <w:t xml:space="preserve">Revenue from ordinary activities </w:t>
      </w:r>
    </w:p>
    <w:p w14:paraId="06F680C5" w14:textId="77777777" w:rsidR="00572185" w:rsidRPr="00D74F80" w:rsidRDefault="00572185" w:rsidP="00D74F80">
      <w:r w:rsidRPr="00D74F80">
        <w:t>Revenue for the period ending 30 June 2019 was $2,070,003. This was derived from the following sources:</w:t>
      </w:r>
    </w:p>
    <w:p w14:paraId="39B6C974" w14:textId="77777777" w:rsidR="00572185" w:rsidRPr="00D74F80" w:rsidRDefault="00572185" w:rsidP="009835A8">
      <w:pPr>
        <w:pStyle w:val="ListParagraph"/>
        <w:numPr>
          <w:ilvl w:val="0"/>
          <w:numId w:val="31"/>
        </w:numPr>
      </w:pPr>
      <w:r w:rsidRPr="00D74F80">
        <w:t>Annual Levies from Members: $2,050,878</w:t>
      </w:r>
    </w:p>
    <w:p w14:paraId="345B3059" w14:textId="77777777" w:rsidR="00572185" w:rsidRPr="00D74F80" w:rsidRDefault="00572185" w:rsidP="009835A8">
      <w:pPr>
        <w:pStyle w:val="ListParagraph"/>
        <w:numPr>
          <w:ilvl w:val="0"/>
          <w:numId w:val="31"/>
        </w:numPr>
      </w:pPr>
      <w:r w:rsidRPr="00D74F80">
        <w:t>Interest Income: $17,125; and</w:t>
      </w:r>
    </w:p>
    <w:p w14:paraId="295A8B91" w14:textId="77777777" w:rsidR="00572185" w:rsidRPr="00D74F80" w:rsidRDefault="00572185" w:rsidP="009835A8">
      <w:pPr>
        <w:pStyle w:val="ListParagraph"/>
        <w:numPr>
          <w:ilvl w:val="0"/>
          <w:numId w:val="31"/>
        </w:numPr>
      </w:pPr>
      <w:r w:rsidRPr="00D74F80">
        <w:t>Other Income: $2,000</w:t>
      </w:r>
    </w:p>
    <w:p w14:paraId="0083D2B8" w14:textId="609D5690" w:rsidR="00B21EE7" w:rsidRPr="007C0085" w:rsidRDefault="00B21EE7" w:rsidP="00572185">
      <w:pPr>
        <w:pStyle w:val="Heading3"/>
      </w:pPr>
      <w:r w:rsidRPr="007C0085">
        <w:t xml:space="preserve">Operating Expenses </w:t>
      </w:r>
    </w:p>
    <w:p w14:paraId="3E426060" w14:textId="77777777" w:rsidR="00572185" w:rsidRPr="00D74F80" w:rsidRDefault="00572185" w:rsidP="00D74F80">
      <w:r w:rsidRPr="00D74F80">
        <w:t xml:space="preserve">Operating Expenses for the period ending 30 June 2019 were $2,083,527. The majority of operating expenses were employee benefits ($1,567,132), telephone and IT expenses ($138,901) and occupancy expenses ($136,802). </w:t>
      </w:r>
    </w:p>
    <w:p w14:paraId="5877E4AE" w14:textId="05A68733" w:rsidR="00B21EE7" w:rsidRPr="007C0085" w:rsidRDefault="00B21EE7" w:rsidP="00572185">
      <w:pPr>
        <w:pStyle w:val="Heading3"/>
      </w:pPr>
      <w:r w:rsidRPr="007C0085">
        <w:t xml:space="preserve">Income Tax </w:t>
      </w:r>
    </w:p>
    <w:p w14:paraId="23290BC9" w14:textId="714DCD25" w:rsidR="00E74C3A" w:rsidRDefault="00572185" w:rsidP="00D74F80">
      <w:r w:rsidRPr="00D74F80">
        <w:t>The Australian Taxation Office (“ATO”) issued a private tax ruling declaring that the company is deemed exempt from income tax for the financial years ending 30 June 2019 to 30 June 2022.</w:t>
      </w:r>
    </w:p>
    <w:p w14:paraId="562FD1E0" w14:textId="2B66D5E9" w:rsidR="00B21EE7" w:rsidRPr="007C0085" w:rsidRDefault="00B21EE7" w:rsidP="001C0EE6">
      <w:pPr>
        <w:pStyle w:val="Heading2"/>
        <w:rPr>
          <w:rFonts w:cs="Arial Narrow"/>
          <w:caps/>
          <w:lang w:val="en-US"/>
        </w:rPr>
      </w:pPr>
      <w:r w:rsidRPr="007C0085">
        <w:rPr>
          <w:lang w:val="en-US"/>
        </w:rPr>
        <w:t>Discussion and analysis of the Statement of Financial Position</w:t>
      </w:r>
    </w:p>
    <w:p w14:paraId="03935BF7" w14:textId="77777777" w:rsidR="00B21EE7" w:rsidRPr="007C0085" w:rsidRDefault="00B21EE7" w:rsidP="001C0EE6">
      <w:pPr>
        <w:pStyle w:val="Heading3"/>
      </w:pPr>
      <w:r w:rsidRPr="007C0085">
        <w:t xml:space="preserve">Total Assets </w:t>
      </w:r>
    </w:p>
    <w:p w14:paraId="67B2E9B4" w14:textId="77777777" w:rsidR="00572185" w:rsidRPr="00D74F80" w:rsidRDefault="00572185" w:rsidP="00D74F80">
      <w:r w:rsidRPr="00D74F80">
        <w:t>Total assets increased by $195,372 during the period due primarily to an increase in total current assets of $221,536 and a decrease in non-current assets of ($26,164).</w:t>
      </w:r>
    </w:p>
    <w:p w14:paraId="5A6F1997" w14:textId="79C3726D" w:rsidR="00B21EE7" w:rsidRPr="007C0085" w:rsidRDefault="00B21EE7" w:rsidP="00572185">
      <w:pPr>
        <w:pStyle w:val="Heading3"/>
      </w:pPr>
      <w:r w:rsidRPr="007C0085">
        <w:t xml:space="preserve">Total Liabilities </w:t>
      </w:r>
    </w:p>
    <w:p w14:paraId="436BE915" w14:textId="77777777" w:rsidR="00572185" w:rsidRPr="00D74F80" w:rsidRDefault="00572185" w:rsidP="00D74F80">
      <w:r w:rsidRPr="00D74F80">
        <w:t xml:space="preserve">Total Liabilities increased by $208,896 during the period. This is due to an increase in total current liabilities of $154,590 and non-current liabilities of $54,306. </w:t>
      </w:r>
    </w:p>
    <w:p w14:paraId="744B7DD6" w14:textId="77777777" w:rsidR="00B16071" w:rsidRDefault="00B16071" w:rsidP="005F35B0">
      <w:pPr>
        <w:rPr>
          <w:rFonts w:eastAsiaTheme="minorHAnsi"/>
          <w:lang w:val="en-GB"/>
        </w:rPr>
      </w:pPr>
      <w:r>
        <w:br w:type="page"/>
      </w:r>
    </w:p>
    <w:p w14:paraId="69E7850C" w14:textId="15804108" w:rsidR="00B21EE7" w:rsidRPr="007C0085" w:rsidRDefault="00B21EE7" w:rsidP="001C0EE6">
      <w:pPr>
        <w:pStyle w:val="Heading2"/>
        <w:rPr>
          <w:rFonts w:cs="Arial Narrow"/>
          <w:caps/>
          <w:lang w:val="en-US"/>
        </w:rPr>
      </w:pPr>
      <w:r w:rsidRPr="007C0085">
        <w:lastRenderedPageBreak/>
        <w:t>Discussion and analysis of the statement of cash flows</w:t>
      </w:r>
    </w:p>
    <w:p w14:paraId="71E81551" w14:textId="77777777" w:rsidR="00B21EE7" w:rsidRPr="007C0085" w:rsidRDefault="00B21EE7" w:rsidP="001C0EE6">
      <w:pPr>
        <w:pStyle w:val="Heading3"/>
      </w:pPr>
      <w:r w:rsidRPr="007C0085">
        <w:t xml:space="preserve">Cash Flows from Operating Activities </w:t>
      </w:r>
    </w:p>
    <w:p w14:paraId="6FEA1C70" w14:textId="77777777" w:rsidR="00D74F80" w:rsidRPr="00D74F80" w:rsidRDefault="00D74F80" w:rsidP="00D74F80">
      <w:pPr>
        <w:rPr>
          <w:lang w:val="en-GB"/>
        </w:rPr>
      </w:pPr>
      <w:r w:rsidRPr="00D74F80">
        <w:rPr>
          <w:lang w:val="en-GB"/>
        </w:rPr>
        <w:t>Cash at the end of the financial year as shown in the statements of cash flows is $893,986. This was derived from:</w:t>
      </w:r>
    </w:p>
    <w:p w14:paraId="0351E4B6" w14:textId="77777777" w:rsidR="00D74F80" w:rsidRPr="00D74F80" w:rsidRDefault="00D74F80" w:rsidP="009835A8">
      <w:pPr>
        <w:pStyle w:val="ListParagraph"/>
        <w:numPr>
          <w:ilvl w:val="0"/>
          <w:numId w:val="32"/>
        </w:numPr>
        <w:rPr>
          <w:lang w:val="en-GB"/>
        </w:rPr>
      </w:pPr>
      <w:r w:rsidRPr="00D74F80">
        <w:rPr>
          <w:lang w:val="en-GB"/>
        </w:rPr>
        <w:t>Cash outflow from operating activities ($29,979)</w:t>
      </w:r>
    </w:p>
    <w:p w14:paraId="77BFBC82" w14:textId="77777777" w:rsidR="00D74F80" w:rsidRPr="00D74F80" w:rsidRDefault="00D74F80" w:rsidP="009835A8">
      <w:pPr>
        <w:pStyle w:val="ListParagraph"/>
        <w:numPr>
          <w:ilvl w:val="0"/>
          <w:numId w:val="32"/>
        </w:numPr>
        <w:rPr>
          <w:lang w:val="en-GB"/>
        </w:rPr>
      </w:pPr>
      <w:r w:rsidRPr="00D74F80">
        <w:rPr>
          <w:lang w:val="en-GB"/>
        </w:rPr>
        <w:t>Cash outflow from investing activities ($29,893); and</w:t>
      </w:r>
    </w:p>
    <w:p w14:paraId="11AFAF62" w14:textId="77777777" w:rsidR="00D74F80" w:rsidRPr="00D74F80" w:rsidRDefault="00D74F80" w:rsidP="009835A8">
      <w:pPr>
        <w:pStyle w:val="ListParagraph"/>
        <w:numPr>
          <w:ilvl w:val="0"/>
          <w:numId w:val="32"/>
        </w:numPr>
        <w:rPr>
          <w:lang w:val="en-GB"/>
        </w:rPr>
      </w:pPr>
      <w:r w:rsidRPr="00D74F80">
        <w:rPr>
          <w:lang w:val="en-GB"/>
        </w:rPr>
        <w:t>Cash and cash equivalents at the beginning of financial year $953,858.</w:t>
      </w:r>
    </w:p>
    <w:p w14:paraId="3149EEE7" w14:textId="3BB4B1A4" w:rsidR="00E74C3A" w:rsidRPr="00D74F80" w:rsidRDefault="00D74F80" w:rsidP="00D74F80">
      <w:pPr>
        <w:rPr>
          <w:i/>
          <w:iCs/>
        </w:rPr>
      </w:pPr>
      <w:r w:rsidRPr="00D74F80">
        <w:rPr>
          <w:i/>
          <w:iCs/>
        </w:rPr>
        <w:t>Audited Financial Statements and Directors’ Report for the Public Transport Ombudsman Limited have been lodged with ASIC in accordance with the Corporations Act requirements.</w:t>
      </w:r>
    </w:p>
    <w:p w14:paraId="6772A42D" w14:textId="77777777" w:rsidR="00DA10CB" w:rsidRDefault="00DA10CB" w:rsidP="00BE26EB">
      <w:pPr>
        <w:pStyle w:val="Heading2"/>
        <w:rPr>
          <w:lang w:val="en-US"/>
        </w:rPr>
      </w:pPr>
    </w:p>
    <w:p w14:paraId="7F999685" w14:textId="7223EE1C" w:rsidR="00D74F80" w:rsidRDefault="00B21EE7" w:rsidP="00BE26EB">
      <w:pPr>
        <w:pStyle w:val="Heading2"/>
      </w:pPr>
      <w:r w:rsidRPr="007C0085">
        <w:rPr>
          <w:lang w:val="en-US"/>
        </w:rPr>
        <w:t>Income Statement</w:t>
      </w:r>
      <w:r w:rsidR="00BE26EB">
        <w:rPr>
          <w:lang w:val="en-US"/>
        </w:rPr>
        <w:t xml:space="preserve"> </w:t>
      </w:r>
      <w:r w:rsidRPr="00E74C3A">
        <w:t>For the year ended 30 June 201</w:t>
      </w:r>
      <w:r w:rsidR="00D74F80">
        <w:t>9</w:t>
      </w:r>
      <w:r w:rsidRPr="00E74C3A">
        <w:tab/>
      </w:r>
    </w:p>
    <w:tbl>
      <w:tblPr>
        <w:tblStyle w:val="TableGrid"/>
        <w:tblW w:w="0" w:type="auto"/>
        <w:tblLook w:val="04A0" w:firstRow="1" w:lastRow="0" w:firstColumn="1" w:lastColumn="0" w:noHBand="0" w:noVBand="1"/>
      </w:tblPr>
      <w:tblGrid>
        <w:gridCol w:w="6091"/>
        <w:gridCol w:w="2268"/>
        <w:gridCol w:w="2097"/>
      </w:tblGrid>
      <w:tr w:rsidR="00BE26EB" w:rsidRPr="00BE26EB" w14:paraId="7958D37D" w14:textId="77777777" w:rsidTr="00BE26EB">
        <w:tc>
          <w:tcPr>
            <w:tcW w:w="6091" w:type="dxa"/>
          </w:tcPr>
          <w:p w14:paraId="7AFBC9F4" w14:textId="77777777" w:rsidR="00BE26EB" w:rsidRPr="00BE26EB" w:rsidRDefault="00BE26EB" w:rsidP="00F45B45"/>
        </w:tc>
        <w:tc>
          <w:tcPr>
            <w:tcW w:w="2268" w:type="dxa"/>
          </w:tcPr>
          <w:p w14:paraId="287F92FF" w14:textId="34D8516B" w:rsidR="00BE26EB" w:rsidRPr="00BE26EB" w:rsidRDefault="00BE26EB" w:rsidP="00F45B45">
            <w:pPr>
              <w:rPr>
                <w:b/>
                <w:bCs/>
              </w:rPr>
            </w:pPr>
            <w:r w:rsidRPr="00BE26EB">
              <w:rPr>
                <w:b/>
                <w:bCs/>
              </w:rPr>
              <w:t>2019</w:t>
            </w:r>
          </w:p>
        </w:tc>
        <w:tc>
          <w:tcPr>
            <w:tcW w:w="2097" w:type="dxa"/>
          </w:tcPr>
          <w:p w14:paraId="41371621" w14:textId="4F06CD90" w:rsidR="00BE26EB" w:rsidRPr="00BE26EB" w:rsidRDefault="00BE26EB" w:rsidP="00F45B45">
            <w:pPr>
              <w:rPr>
                <w:b/>
                <w:bCs/>
              </w:rPr>
            </w:pPr>
            <w:r w:rsidRPr="00BE26EB">
              <w:rPr>
                <w:b/>
                <w:bCs/>
              </w:rPr>
              <w:t>2018</w:t>
            </w:r>
          </w:p>
        </w:tc>
      </w:tr>
      <w:tr w:rsidR="00BE26EB" w:rsidRPr="00BE26EB" w14:paraId="759F9D6B" w14:textId="77777777" w:rsidTr="00BE26EB">
        <w:tc>
          <w:tcPr>
            <w:tcW w:w="6091" w:type="dxa"/>
          </w:tcPr>
          <w:p w14:paraId="0CC1228C" w14:textId="77777777" w:rsidR="00BE26EB" w:rsidRPr="00BE26EB" w:rsidRDefault="00BE26EB" w:rsidP="000D5CB8">
            <w:pPr>
              <w:pStyle w:val="Heading3"/>
              <w:outlineLvl w:val="2"/>
            </w:pPr>
            <w:r w:rsidRPr="00BE26EB">
              <w:t>Revenue</w:t>
            </w:r>
          </w:p>
        </w:tc>
        <w:tc>
          <w:tcPr>
            <w:tcW w:w="2268" w:type="dxa"/>
          </w:tcPr>
          <w:p w14:paraId="6856FB4C" w14:textId="77777777" w:rsidR="00BE26EB" w:rsidRPr="000D5CB8" w:rsidRDefault="00BE26EB" w:rsidP="00F45B45">
            <w:pPr>
              <w:rPr>
                <w:b/>
                <w:bCs/>
              </w:rPr>
            </w:pPr>
            <w:r w:rsidRPr="000D5CB8">
              <w:rPr>
                <w:b/>
                <w:bCs/>
              </w:rPr>
              <w:t>2,070,003</w:t>
            </w:r>
          </w:p>
        </w:tc>
        <w:tc>
          <w:tcPr>
            <w:tcW w:w="2097" w:type="dxa"/>
          </w:tcPr>
          <w:p w14:paraId="6BF3736A" w14:textId="77777777" w:rsidR="00BE26EB" w:rsidRPr="000D5CB8" w:rsidRDefault="00BE26EB" w:rsidP="00F45B45">
            <w:pPr>
              <w:rPr>
                <w:b/>
                <w:bCs/>
              </w:rPr>
            </w:pPr>
            <w:r w:rsidRPr="000D5CB8">
              <w:rPr>
                <w:b/>
                <w:bCs/>
              </w:rPr>
              <w:t>1,933,672</w:t>
            </w:r>
          </w:p>
        </w:tc>
      </w:tr>
      <w:tr w:rsidR="00BE26EB" w:rsidRPr="00BE26EB" w14:paraId="393ED7DD" w14:textId="77777777" w:rsidTr="00BE26EB">
        <w:tc>
          <w:tcPr>
            <w:tcW w:w="6091" w:type="dxa"/>
          </w:tcPr>
          <w:p w14:paraId="07671214" w14:textId="77777777" w:rsidR="00BE26EB" w:rsidRPr="00BE26EB" w:rsidRDefault="00BE26EB" w:rsidP="00F45B45">
            <w:r w:rsidRPr="00BE26EB">
              <w:t>Employee benefits expense</w:t>
            </w:r>
          </w:p>
        </w:tc>
        <w:tc>
          <w:tcPr>
            <w:tcW w:w="2268" w:type="dxa"/>
          </w:tcPr>
          <w:p w14:paraId="182D34A7" w14:textId="77777777" w:rsidR="00BE26EB" w:rsidRPr="00BE26EB" w:rsidRDefault="00BE26EB" w:rsidP="00F45B45">
            <w:r w:rsidRPr="00BE26EB">
              <w:t>1,567,132</w:t>
            </w:r>
          </w:p>
        </w:tc>
        <w:tc>
          <w:tcPr>
            <w:tcW w:w="2097" w:type="dxa"/>
          </w:tcPr>
          <w:p w14:paraId="1949A4AA" w14:textId="77777777" w:rsidR="00BE26EB" w:rsidRPr="00BE26EB" w:rsidRDefault="00BE26EB" w:rsidP="00F45B45">
            <w:r w:rsidRPr="00BE26EB">
              <w:t>1,415,740</w:t>
            </w:r>
          </w:p>
        </w:tc>
      </w:tr>
      <w:tr w:rsidR="00BE26EB" w:rsidRPr="00BE26EB" w14:paraId="538D461E" w14:textId="77777777" w:rsidTr="00BE26EB">
        <w:tc>
          <w:tcPr>
            <w:tcW w:w="6091" w:type="dxa"/>
          </w:tcPr>
          <w:p w14:paraId="3AEC056A" w14:textId="77777777" w:rsidR="00BE26EB" w:rsidRPr="00BE26EB" w:rsidRDefault="00BE26EB" w:rsidP="00F45B45">
            <w:r w:rsidRPr="00BE26EB">
              <w:t>Depreciation and amortisation expense</w:t>
            </w:r>
          </w:p>
        </w:tc>
        <w:tc>
          <w:tcPr>
            <w:tcW w:w="2268" w:type="dxa"/>
          </w:tcPr>
          <w:p w14:paraId="0B987BF8" w14:textId="77777777" w:rsidR="00BE26EB" w:rsidRPr="00BE26EB" w:rsidRDefault="00BE26EB" w:rsidP="00F45B45">
            <w:r w:rsidRPr="00BE26EB">
              <w:t>56,057</w:t>
            </w:r>
          </w:p>
        </w:tc>
        <w:tc>
          <w:tcPr>
            <w:tcW w:w="2097" w:type="dxa"/>
          </w:tcPr>
          <w:p w14:paraId="73D87F01" w14:textId="77777777" w:rsidR="00BE26EB" w:rsidRPr="00BE26EB" w:rsidRDefault="00BE26EB" w:rsidP="00F45B45">
            <w:r w:rsidRPr="00BE26EB">
              <w:t>61,794</w:t>
            </w:r>
          </w:p>
        </w:tc>
      </w:tr>
      <w:tr w:rsidR="00BE26EB" w:rsidRPr="00BE26EB" w14:paraId="144C524F" w14:textId="77777777" w:rsidTr="00BE26EB">
        <w:tc>
          <w:tcPr>
            <w:tcW w:w="6091" w:type="dxa"/>
          </w:tcPr>
          <w:p w14:paraId="6DC7D75E" w14:textId="77777777" w:rsidR="00BE26EB" w:rsidRPr="00BE26EB" w:rsidRDefault="00BE26EB" w:rsidP="00F45B45">
            <w:r w:rsidRPr="00BE26EB">
              <w:t>Occupancy costs</w:t>
            </w:r>
          </w:p>
        </w:tc>
        <w:tc>
          <w:tcPr>
            <w:tcW w:w="2268" w:type="dxa"/>
          </w:tcPr>
          <w:p w14:paraId="269E35A0" w14:textId="77777777" w:rsidR="00BE26EB" w:rsidRPr="00BE26EB" w:rsidRDefault="00BE26EB" w:rsidP="00F45B45">
            <w:r w:rsidRPr="00BE26EB">
              <w:t>136,802</w:t>
            </w:r>
          </w:p>
        </w:tc>
        <w:tc>
          <w:tcPr>
            <w:tcW w:w="2097" w:type="dxa"/>
          </w:tcPr>
          <w:p w14:paraId="1E7BF3FF" w14:textId="77777777" w:rsidR="00BE26EB" w:rsidRPr="00BE26EB" w:rsidRDefault="00BE26EB" w:rsidP="00F45B45">
            <w:r w:rsidRPr="00BE26EB">
              <w:t>132,563</w:t>
            </w:r>
          </w:p>
        </w:tc>
      </w:tr>
      <w:tr w:rsidR="00BE26EB" w:rsidRPr="00BE26EB" w14:paraId="3CBFC2D7" w14:textId="77777777" w:rsidTr="00BE26EB">
        <w:tc>
          <w:tcPr>
            <w:tcW w:w="6091" w:type="dxa"/>
          </w:tcPr>
          <w:p w14:paraId="4EFE5DEA" w14:textId="77777777" w:rsidR="00BE26EB" w:rsidRPr="00BE26EB" w:rsidRDefault="00BE26EB" w:rsidP="00F45B45">
            <w:r w:rsidRPr="00BE26EB">
              <w:t>Telephone and IT expenses</w:t>
            </w:r>
          </w:p>
        </w:tc>
        <w:tc>
          <w:tcPr>
            <w:tcW w:w="2268" w:type="dxa"/>
          </w:tcPr>
          <w:p w14:paraId="0F65C336" w14:textId="77777777" w:rsidR="00BE26EB" w:rsidRPr="00BE26EB" w:rsidRDefault="00BE26EB" w:rsidP="00F45B45">
            <w:r w:rsidRPr="00BE26EB">
              <w:t>138,901</w:t>
            </w:r>
          </w:p>
        </w:tc>
        <w:tc>
          <w:tcPr>
            <w:tcW w:w="2097" w:type="dxa"/>
          </w:tcPr>
          <w:p w14:paraId="4DFEA2FE" w14:textId="77777777" w:rsidR="00BE26EB" w:rsidRPr="00BE26EB" w:rsidRDefault="00BE26EB" w:rsidP="00F45B45">
            <w:r w:rsidRPr="00BE26EB">
              <w:t>131,668</w:t>
            </w:r>
          </w:p>
        </w:tc>
      </w:tr>
      <w:tr w:rsidR="00BE26EB" w:rsidRPr="00BE26EB" w14:paraId="3A3CC81A" w14:textId="77777777" w:rsidTr="00BE26EB">
        <w:tc>
          <w:tcPr>
            <w:tcW w:w="6091" w:type="dxa"/>
          </w:tcPr>
          <w:p w14:paraId="23A28068" w14:textId="77777777" w:rsidR="00BE26EB" w:rsidRPr="00BE26EB" w:rsidRDefault="00BE26EB" w:rsidP="00F45B45">
            <w:r w:rsidRPr="00BE26EB">
              <w:t>Consultancy expenses</w:t>
            </w:r>
          </w:p>
        </w:tc>
        <w:tc>
          <w:tcPr>
            <w:tcW w:w="2268" w:type="dxa"/>
          </w:tcPr>
          <w:p w14:paraId="2C24E881" w14:textId="77777777" w:rsidR="00BE26EB" w:rsidRPr="00BE26EB" w:rsidRDefault="00BE26EB" w:rsidP="00F45B45">
            <w:r w:rsidRPr="00BE26EB">
              <w:t>60,582</w:t>
            </w:r>
          </w:p>
        </w:tc>
        <w:tc>
          <w:tcPr>
            <w:tcW w:w="2097" w:type="dxa"/>
          </w:tcPr>
          <w:p w14:paraId="1EF864B9" w14:textId="77777777" w:rsidR="00BE26EB" w:rsidRPr="00BE26EB" w:rsidRDefault="00BE26EB" w:rsidP="00F45B45">
            <w:r w:rsidRPr="00BE26EB">
              <w:t>32,161</w:t>
            </w:r>
          </w:p>
        </w:tc>
      </w:tr>
      <w:tr w:rsidR="00BE26EB" w:rsidRPr="00BE26EB" w14:paraId="0307501B" w14:textId="77777777" w:rsidTr="00BE26EB">
        <w:tc>
          <w:tcPr>
            <w:tcW w:w="6091" w:type="dxa"/>
          </w:tcPr>
          <w:p w14:paraId="48D55E71" w14:textId="77777777" w:rsidR="00BE26EB" w:rsidRPr="00BE26EB" w:rsidRDefault="00BE26EB" w:rsidP="00F45B45">
            <w:r w:rsidRPr="00BE26EB">
              <w:t>Other expenses from ordinary activities</w:t>
            </w:r>
          </w:p>
        </w:tc>
        <w:tc>
          <w:tcPr>
            <w:tcW w:w="2268" w:type="dxa"/>
          </w:tcPr>
          <w:p w14:paraId="3C94FC74" w14:textId="77777777" w:rsidR="00BE26EB" w:rsidRPr="00BE26EB" w:rsidRDefault="00BE26EB" w:rsidP="00F45B45">
            <w:r w:rsidRPr="00BE26EB">
              <w:t>124,053</w:t>
            </w:r>
          </w:p>
        </w:tc>
        <w:tc>
          <w:tcPr>
            <w:tcW w:w="2097" w:type="dxa"/>
          </w:tcPr>
          <w:p w14:paraId="3AA5BB18" w14:textId="77777777" w:rsidR="00BE26EB" w:rsidRPr="00BE26EB" w:rsidRDefault="00BE26EB" w:rsidP="00F45B45">
            <w:r w:rsidRPr="00BE26EB">
              <w:t>151,629</w:t>
            </w:r>
          </w:p>
        </w:tc>
      </w:tr>
      <w:tr w:rsidR="00BE26EB" w:rsidRPr="00BE26EB" w14:paraId="6E09F0C3" w14:textId="77777777" w:rsidTr="00BE26EB">
        <w:tc>
          <w:tcPr>
            <w:tcW w:w="6091" w:type="dxa"/>
          </w:tcPr>
          <w:p w14:paraId="4A98BAC1" w14:textId="77777777" w:rsidR="00BE26EB" w:rsidRPr="00BE26EB" w:rsidRDefault="00BE26EB" w:rsidP="00F45B45">
            <w:pPr>
              <w:rPr>
                <w:b/>
                <w:bCs/>
              </w:rPr>
            </w:pPr>
            <w:r w:rsidRPr="00BE26EB">
              <w:rPr>
                <w:b/>
                <w:bCs/>
              </w:rPr>
              <w:t>(Loss) / Surplus before income tax expense</w:t>
            </w:r>
          </w:p>
        </w:tc>
        <w:tc>
          <w:tcPr>
            <w:tcW w:w="2268" w:type="dxa"/>
          </w:tcPr>
          <w:p w14:paraId="604158A1" w14:textId="77777777" w:rsidR="00BE26EB" w:rsidRPr="00BE26EB" w:rsidRDefault="00BE26EB" w:rsidP="00F45B45">
            <w:r w:rsidRPr="00BE26EB">
              <w:t>(13,524)</w:t>
            </w:r>
          </w:p>
        </w:tc>
        <w:tc>
          <w:tcPr>
            <w:tcW w:w="2097" w:type="dxa"/>
          </w:tcPr>
          <w:p w14:paraId="45F1F327" w14:textId="77777777" w:rsidR="00BE26EB" w:rsidRPr="00BE26EB" w:rsidRDefault="00BE26EB" w:rsidP="00F45B45">
            <w:r w:rsidRPr="00BE26EB">
              <w:t>8,117</w:t>
            </w:r>
          </w:p>
        </w:tc>
      </w:tr>
      <w:tr w:rsidR="00BE26EB" w:rsidRPr="00BE26EB" w14:paraId="71CBDCBD" w14:textId="77777777" w:rsidTr="00BE26EB">
        <w:tc>
          <w:tcPr>
            <w:tcW w:w="6091" w:type="dxa"/>
          </w:tcPr>
          <w:p w14:paraId="0E6661A1" w14:textId="77777777" w:rsidR="00BE26EB" w:rsidRPr="00BE26EB" w:rsidRDefault="00BE26EB" w:rsidP="00F45B45">
            <w:r w:rsidRPr="00BE26EB">
              <w:t>Income tax expense</w:t>
            </w:r>
          </w:p>
        </w:tc>
        <w:tc>
          <w:tcPr>
            <w:tcW w:w="2268" w:type="dxa"/>
          </w:tcPr>
          <w:p w14:paraId="08BC097A" w14:textId="77777777" w:rsidR="00BE26EB" w:rsidRPr="00BE26EB" w:rsidRDefault="00BE26EB" w:rsidP="00F45B45">
            <w:r w:rsidRPr="00BE26EB">
              <w:t xml:space="preserve"> -</w:t>
            </w:r>
          </w:p>
        </w:tc>
        <w:tc>
          <w:tcPr>
            <w:tcW w:w="2097" w:type="dxa"/>
          </w:tcPr>
          <w:p w14:paraId="30C43256" w14:textId="77777777" w:rsidR="00BE26EB" w:rsidRPr="00BE26EB" w:rsidRDefault="00BE26EB" w:rsidP="00F45B45">
            <w:r w:rsidRPr="00BE26EB">
              <w:t>-</w:t>
            </w:r>
          </w:p>
        </w:tc>
      </w:tr>
      <w:tr w:rsidR="00BE26EB" w:rsidRPr="00BE26EB" w14:paraId="643150EB" w14:textId="77777777" w:rsidTr="00BE26EB">
        <w:tc>
          <w:tcPr>
            <w:tcW w:w="6091" w:type="dxa"/>
          </w:tcPr>
          <w:p w14:paraId="34E03426" w14:textId="77777777" w:rsidR="00BE26EB" w:rsidRPr="00BE26EB" w:rsidRDefault="00BE26EB" w:rsidP="00F45B45">
            <w:pPr>
              <w:rPr>
                <w:b/>
                <w:bCs/>
              </w:rPr>
            </w:pPr>
            <w:r w:rsidRPr="00BE26EB">
              <w:rPr>
                <w:b/>
                <w:bCs/>
              </w:rPr>
              <w:t>Total Comprehensive (Loss) / Income for the year</w:t>
            </w:r>
          </w:p>
        </w:tc>
        <w:tc>
          <w:tcPr>
            <w:tcW w:w="2268" w:type="dxa"/>
          </w:tcPr>
          <w:p w14:paraId="183D6874" w14:textId="77777777" w:rsidR="00BE26EB" w:rsidRPr="00BE26EB" w:rsidRDefault="00BE26EB" w:rsidP="00F45B45">
            <w:r w:rsidRPr="00BE26EB">
              <w:t>(13,524)</w:t>
            </w:r>
          </w:p>
        </w:tc>
        <w:tc>
          <w:tcPr>
            <w:tcW w:w="2097" w:type="dxa"/>
          </w:tcPr>
          <w:p w14:paraId="06DCEB08" w14:textId="77777777" w:rsidR="00BE26EB" w:rsidRPr="00BE26EB" w:rsidRDefault="00BE26EB" w:rsidP="00F45B45">
            <w:r w:rsidRPr="00BE26EB">
              <w:t>8,117</w:t>
            </w:r>
          </w:p>
        </w:tc>
      </w:tr>
    </w:tbl>
    <w:p w14:paraId="1DC11D18" w14:textId="77777777" w:rsidR="00BE26EB" w:rsidRDefault="00BE26EB" w:rsidP="00BE26EB"/>
    <w:p w14:paraId="2955892A" w14:textId="06BC7D10" w:rsidR="00BE26EB" w:rsidRPr="00BE26EB" w:rsidRDefault="00BE26EB" w:rsidP="00BE26EB">
      <w:pPr>
        <w:pStyle w:val="Heading2"/>
      </w:pPr>
      <w:r w:rsidRPr="00BE26EB">
        <w:t>Balance Sheet</w:t>
      </w:r>
      <w:r>
        <w:t xml:space="preserve"> </w:t>
      </w:r>
      <w:r w:rsidRPr="00BE26EB">
        <w:t>As at 30 June 2019</w:t>
      </w:r>
      <w:r w:rsidRPr="00BE26EB">
        <w:tab/>
      </w:r>
    </w:p>
    <w:tbl>
      <w:tblPr>
        <w:tblStyle w:val="TableGrid"/>
        <w:tblW w:w="0" w:type="auto"/>
        <w:tblLook w:val="04A0" w:firstRow="1" w:lastRow="0" w:firstColumn="1" w:lastColumn="0" w:noHBand="0" w:noVBand="1"/>
      </w:tblPr>
      <w:tblGrid>
        <w:gridCol w:w="6091"/>
        <w:gridCol w:w="2268"/>
        <w:gridCol w:w="2097"/>
      </w:tblGrid>
      <w:tr w:rsidR="000D5CB8" w:rsidRPr="00C157DE" w14:paraId="180D005C" w14:textId="77777777" w:rsidTr="00C157DE">
        <w:tc>
          <w:tcPr>
            <w:tcW w:w="6091" w:type="dxa"/>
          </w:tcPr>
          <w:p w14:paraId="1D3B4F8E" w14:textId="77777777" w:rsidR="000D5CB8" w:rsidRPr="00C157DE" w:rsidRDefault="000D5CB8" w:rsidP="000D5CB8">
            <w:pPr>
              <w:pStyle w:val="Heading3"/>
              <w:outlineLvl w:val="2"/>
            </w:pPr>
          </w:p>
        </w:tc>
        <w:tc>
          <w:tcPr>
            <w:tcW w:w="2268" w:type="dxa"/>
          </w:tcPr>
          <w:p w14:paraId="0767CB96" w14:textId="1248886D" w:rsidR="000D5CB8" w:rsidRPr="000D5CB8" w:rsidRDefault="000D5CB8" w:rsidP="000D5CB8">
            <w:pPr>
              <w:rPr>
                <w:b/>
                <w:bCs/>
              </w:rPr>
            </w:pPr>
            <w:r w:rsidRPr="00BE26EB">
              <w:rPr>
                <w:b/>
                <w:bCs/>
              </w:rPr>
              <w:t>2019</w:t>
            </w:r>
          </w:p>
        </w:tc>
        <w:tc>
          <w:tcPr>
            <w:tcW w:w="2097" w:type="dxa"/>
          </w:tcPr>
          <w:p w14:paraId="33F9FA88" w14:textId="03A668D6" w:rsidR="000D5CB8" w:rsidRPr="000D5CB8" w:rsidRDefault="000D5CB8" w:rsidP="000D5CB8">
            <w:pPr>
              <w:rPr>
                <w:b/>
                <w:bCs/>
              </w:rPr>
            </w:pPr>
            <w:r w:rsidRPr="00BE26EB">
              <w:rPr>
                <w:b/>
                <w:bCs/>
              </w:rPr>
              <w:t>2018</w:t>
            </w:r>
          </w:p>
        </w:tc>
      </w:tr>
      <w:tr w:rsidR="00C157DE" w:rsidRPr="00C157DE" w14:paraId="401C93B8" w14:textId="77777777" w:rsidTr="00C157DE">
        <w:tc>
          <w:tcPr>
            <w:tcW w:w="6091" w:type="dxa"/>
          </w:tcPr>
          <w:p w14:paraId="77962D5F" w14:textId="77777777" w:rsidR="00C157DE" w:rsidRPr="00C157DE" w:rsidRDefault="00C157DE" w:rsidP="000D5CB8">
            <w:pPr>
              <w:pStyle w:val="Heading3"/>
              <w:outlineLvl w:val="2"/>
            </w:pPr>
            <w:r w:rsidRPr="00C157DE">
              <w:t>Current Assets</w:t>
            </w:r>
          </w:p>
        </w:tc>
        <w:tc>
          <w:tcPr>
            <w:tcW w:w="2268" w:type="dxa"/>
          </w:tcPr>
          <w:p w14:paraId="575794BD" w14:textId="77777777" w:rsidR="00C157DE" w:rsidRPr="00C157DE" w:rsidRDefault="00C157DE" w:rsidP="00F45B45"/>
        </w:tc>
        <w:tc>
          <w:tcPr>
            <w:tcW w:w="2097" w:type="dxa"/>
          </w:tcPr>
          <w:p w14:paraId="55F200FB" w14:textId="77777777" w:rsidR="00C157DE" w:rsidRPr="00C157DE" w:rsidRDefault="00C157DE" w:rsidP="00F45B45"/>
        </w:tc>
      </w:tr>
      <w:tr w:rsidR="00C157DE" w:rsidRPr="00C157DE" w14:paraId="49D71AEC" w14:textId="77777777" w:rsidTr="00C157DE">
        <w:tc>
          <w:tcPr>
            <w:tcW w:w="6091" w:type="dxa"/>
          </w:tcPr>
          <w:p w14:paraId="235BE152" w14:textId="77777777" w:rsidR="00C157DE" w:rsidRPr="00C157DE" w:rsidRDefault="00C157DE" w:rsidP="00F45B45">
            <w:r w:rsidRPr="00C157DE">
              <w:t>Cash and cash equivalents</w:t>
            </w:r>
          </w:p>
        </w:tc>
        <w:tc>
          <w:tcPr>
            <w:tcW w:w="2268" w:type="dxa"/>
          </w:tcPr>
          <w:p w14:paraId="16DFDAB6" w14:textId="77777777" w:rsidR="00C157DE" w:rsidRPr="00C157DE" w:rsidRDefault="00C157DE" w:rsidP="00F45B45">
            <w:r w:rsidRPr="00C157DE">
              <w:t>893,986</w:t>
            </w:r>
          </w:p>
        </w:tc>
        <w:tc>
          <w:tcPr>
            <w:tcW w:w="2097" w:type="dxa"/>
          </w:tcPr>
          <w:p w14:paraId="24D63C61" w14:textId="77777777" w:rsidR="00C157DE" w:rsidRPr="00C157DE" w:rsidRDefault="00C157DE" w:rsidP="00F45B45">
            <w:r w:rsidRPr="00C157DE">
              <w:t>953,858</w:t>
            </w:r>
          </w:p>
        </w:tc>
      </w:tr>
      <w:tr w:rsidR="00C157DE" w:rsidRPr="00C157DE" w14:paraId="52707BC4" w14:textId="77777777" w:rsidTr="00C157DE">
        <w:tc>
          <w:tcPr>
            <w:tcW w:w="6091" w:type="dxa"/>
          </w:tcPr>
          <w:p w14:paraId="5C30A6BA" w14:textId="77777777" w:rsidR="00C157DE" w:rsidRPr="00C157DE" w:rsidRDefault="00C157DE" w:rsidP="00F45B45">
            <w:r w:rsidRPr="00C157DE">
              <w:t>Trade and other receivables</w:t>
            </w:r>
          </w:p>
        </w:tc>
        <w:tc>
          <w:tcPr>
            <w:tcW w:w="2268" w:type="dxa"/>
          </w:tcPr>
          <w:p w14:paraId="517902FD" w14:textId="77777777" w:rsidR="00C157DE" w:rsidRPr="00C157DE" w:rsidRDefault="00C157DE" w:rsidP="00F45B45">
            <w:r w:rsidRPr="00C157DE">
              <w:t>601,722</w:t>
            </w:r>
          </w:p>
        </w:tc>
        <w:tc>
          <w:tcPr>
            <w:tcW w:w="2097" w:type="dxa"/>
          </w:tcPr>
          <w:p w14:paraId="2A748073" w14:textId="77777777" w:rsidR="00C157DE" w:rsidRPr="00C157DE" w:rsidRDefault="00C157DE" w:rsidP="00F45B45">
            <w:r w:rsidRPr="00C157DE">
              <w:t>322,800</w:t>
            </w:r>
          </w:p>
        </w:tc>
      </w:tr>
      <w:tr w:rsidR="00C157DE" w:rsidRPr="00C157DE" w14:paraId="1E6EC864" w14:textId="77777777" w:rsidTr="00C157DE">
        <w:tc>
          <w:tcPr>
            <w:tcW w:w="6091" w:type="dxa"/>
          </w:tcPr>
          <w:p w14:paraId="4048ECB0" w14:textId="77777777" w:rsidR="00C157DE" w:rsidRPr="00C157DE" w:rsidRDefault="00C157DE" w:rsidP="00F45B45">
            <w:r w:rsidRPr="00C157DE">
              <w:t>Other Assets</w:t>
            </w:r>
          </w:p>
        </w:tc>
        <w:tc>
          <w:tcPr>
            <w:tcW w:w="2268" w:type="dxa"/>
          </w:tcPr>
          <w:p w14:paraId="48ACF7A6" w14:textId="77777777" w:rsidR="00C157DE" w:rsidRPr="00C157DE" w:rsidRDefault="00C157DE" w:rsidP="00F45B45">
            <w:r w:rsidRPr="00C157DE">
              <w:t>4,097</w:t>
            </w:r>
          </w:p>
        </w:tc>
        <w:tc>
          <w:tcPr>
            <w:tcW w:w="2097" w:type="dxa"/>
          </w:tcPr>
          <w:p w14:paraId="2EA581BC" w14:textId="77777777" w:rsidR="00C157DE" w:rsidRPr="00C157DE" w:rsidRDefault="00C157DE" w:rsidP="00F45B45">
            <w:r w:rsidRPr="00C157DE">
              <w:t>1,611</w:t>
            </w:r>
          </w:p>
        </w:tc>
      </w:tr>
      <w:tr w:rsidR="00C157DE" w:rsidRPr="00C157DE" w14:paraId="15D27C9E" w14:textId="77777777" w:rsidTr="00C157DE">
        <w:tc>
          <w:tcPr>
            <w:tcW w:w="6091" w:type="dxa"/>
          </w:tcPr>
          <w:p w14:paraId="1B0A558F" w14:textId="77777777" w:rsidR="00C157DE" w:rsidRPr="00C157DE" w:rsidRDefault="00C157DE" w:rsidP="00F45B45">
            <w:pPr>
              <w:rPr>
                <w:b/>
                <w:bCs/>
              </w:rPr>
            </w:pPr>
            <w:r w:rsidRPr="00C157DE">
              <w:rPr>
                <w:b/>
                <w:bCs/>
              </w:rPr>
              <w:t>Total Current Assets</w:t>
            </w:r>
          </w:p>
        </w:tc>
        <w:tc>
          <w:tcPr>
            <w:tcW w:w="2268" w:type="dxa"/>
          </w:tcPr>
          <w:p w14:paraId="76810F62" w14:textId="77777777" w:rsidR="00C157DE" w:rsidRPr="00C157DE" w:rsidRDefault="00C157DE" w:rsidP="00F45B45">
            <w:pPr>
              <w:rPr>
                <w:b/>
                <w:bCs/>
              </w:rPr>
            </w:pPr>
            <w:r w:rsidRPr="00C157DE">
              <w:rPr>
                <w:b/>
                <w:bCs/>
              </w:rPr>
              <w:t>1,499,805</w:t>
            </w:r>
          </w:p>
        </w:tc>
        <w:tc>
          <w:tcPr>
            <w:tcW w:w="2097" w:type="dxa"/>
          </w:tcPr>
          <w:p w14:paraId="50382AE5" w14:textId="77777777" w:rsidR="00C157DE" w:rsidRPr="00C157DE" w:rsidRDefault="00C157DE" w:rsidP="00F45B45">
            <w:pPr>
              <w:rPr>
                <w:b/>
                <w:bCs/>
              </w:rPr>
            </w:pPr>
            <w:r w:rsidRPr="00C157DE">
              <w:rPr>
                <w:b/>
                <w:bCs/>
              </w:rPr>
              <w:t>1,278,269</w:t>
            </w:r>
          </w:p>
        </w:tc>
      </w:tr>
      <w:tr w:rsidR="00C157DE" w:rsidRPr="00C157DE" w14:paraId="62AC86FA" w14:textId="77777777" w:rsidTr="00C157DE">
        <w:tc>
          <w:tcPr>
            <w:tcW w:w="6091" w:type="dxa"/>
          </w:tcPr>
          <w:p w14:paraId="470382AE" w14:textId="77777777" w:rsidR="00C157DE" w:rsidRPr="00C157DE" w:rsidRDefault="00C157DE" w:rsidP="000D5CB8">
            <w:pPr>
              <w:pStyle w:val="Heading3"/>
              <w:outlineLvl w:val="2"/>
            </w:pPr>
            <w:r w:rsidRPr="00C157DE">
              <w:t>Non-Current Assets</w:t>
            </w:r>
          </w:p>
        </w:tc>
        <w:tc>
          <w:tcPr>
            <w:tcW w:w="2268" w:type="dxa"/>
          </w:tcPr>
          <w:p w14:paraId="6CB91969" w14:textId="77777777" w:rsidR="00C157DE" w:rsidRPr="00C157DE" w:rsidRDefault="00C157DE" w:rsidP="00F45B45"/>
        </w:tc>
        <w:tc>
          <w:tcPr>
            <w:tcW w:w="2097" w:type="dxa"/>
          </w:tcPr>
          <w:p w14:paraId="1410C6EF" w14:textId="77777777" w:rsidR="00C157DE" w:rsidRPr="00C157DE" w:rsidRDefault="00C157DE" w:rsidP="00F45B45"/>
        </w:tc>
      </w:tr>
      <w:tr w:rsidR="00C157DE" w:rsidRPr="00C157DE" w14:paraId="5EA2CC67" w14:textId="77777777" w:rsidTr="00C157DE">
        <w:tc>
          <w:tcPr>
            <w:tcW w:w="6091" w:type="dxa"/>
          </w:tcPr>
          <w:p w14:paraId="0FC321F4" w14:textId="77777777" w:rsidR="00C157DE" w:rsidRPr="00C157DE" w:rsidRDefault="00C157DE" w:rsidP="00F45B45">
            <w:r w:rsidRPr="00C157DE">
              <w:t>Property, plant and equipment</w:t>
            </w:r>
          </w:p>
        </w:tc>
        <w:tc>
          <w:tcPr>
            <w:tcW w:w="2268" w:type="dxa"/>
          </w:tcPr>
          <w:p w14:paraId="4BFA4E27" w14:textId="77777777" w:rsidR="00C157DE" w:rsidRPr="00C157DE" w:rsidRDefault="00C157DE" w:rsidP="00F45B45">
            <w:r w:rsidRPr="00C157DE">
              <w:t>29,560</w:t>
            </w:r>
          </w:p>
        </w:tc>
        <w:tc>
          <w:tcPr>
            <w:tcW w:w="2097" w:type="dxa"/>
          </w:tcPr>
          <w:p w14:paraId="5C951711" w14:textId="77777777" w:rsidR="00C157DE" w:rsidRPr="00C157DE" w:rsidRDefault="00C157DE" w:rsidP="00F45B45">
            <w:r w:rsidRPr="00C157DE">
              <w:t>67,272</w:t>
            </w:r>
          </w:p>
        </w:tc>
      </w:tr>
      <w:tr w:rsidR="00C157DE" w:rsidRPr="00C157DE" w14:paraId="50DC5F0D" w14:textId="77777777" w:rsidTr="00C157DE">
        <w:tc>
          <w:tcPr>
            <w:tcW w:w="6091" w:type="dxa"/>
          </w:tcPr>
          <w:p w14:paraId="26887478" w14:textId="77777777" w:rsidR="00C157DE" w:rsidRPr="00C157DE" w:rsidRDefault="00C157DE" w:rsidP="00F45B45">
            <w:r w:rsidRPr="00C157DE">
              <w:t>Intangible Assets</w:t>
            </w:r>
          </w:p>
        </w:tc>
        <w:tc>
          <w:tcPr>
            <w:tcW w:w="2268" w:type="dxa"/>
          </w:tcPr>
          <w:p w14:paraId="5BE8EC65" w14:textId="77777777" w:rsidR="00C157DE" w:rsidRPr="00C157DE" w:rsidRDefault="00C157DE" w:rsidP="00F45B45">
            <w:r w:rsidRPr="00C157DE">
              <w:t>31,598</w:t>
            </w:r>
          </w:p>
        </w:tc>
        <w:tc>
          <w:tcPr>
            <w:tcW w:w="2097" w:type="dxa"/>
          </w:tcPr>
          <w:p w14:paraId="11C1BF80" w14:textId="77777777" w:rsidR="00C157DE" w:rsidRPr="00C157DE" w:rsidRDefault="00C157DE" w:rsidP="00F45B45">
            <w:r w:rsidRPr="00C157DE">
              <w:t>20,050</w:t>
            </w:r>
          </w:p>
        </w:tc>
      </w:tr>
      <w:tr w:rsidR="00C157DE" w:rsidRPr="00C157DE" w14:paraId="52CDF936" w14:textId="77777777" w:rsidTr="00C157DE">
        <w:tc>
          <w:tcPr>
            <w:tcW w:w="6091" w:type="dxa"/>
          </w:tcPr>
          <w:p w14:paraId="31374F7D" w14:textId="77777777" w:rsidR="00C157DE" w:rsidRPr="00C157DE" w:rsidRDefault="00C157DE" w:rsidP="00F45B45">
            <w:pPr>
              <w:rPr>
                <w:b/>
                <w:bCs/>
              </w:rPr>
            </w:pPr>
            <w:r w:rsidRPr="00C157DE">
              <w:rPr>
                <w:b/>
                <w:bCs/>
              </w:rPr>
              <w:t>Total Non-Current Assets</w:t>
            </w:r>
          </w:p>
        </w:tc>
        <w:tc>
          <w:tcPr>
            <w:tcW w:w="2268" w:type="dxa"/>
          </w:tcPr>
          <w:p w14:paraId="31F1391D" w14:textId="77777777" w:rsidR="00C157DE" w:rsidRPr="00C157DE" w:rsidRDefault="00C157DE" w:rsidP="00F45B45">
            <w:pPr>
              <w:rPr>
                <w:b/>
                <w:bCs/>
              </w:rPr>
            </w:pPr>
            <w:r w:rsidRPr="00C157DE">
              <w:rPr>
                <w:b/>
                <w:bCs/>
              </w:rPr>
              <w:t>61,158</w:t>
            </w:r>
          </w:p>
        </w:tc>
        <w:tc>
          <w:tcPr>
            <w:tcW w:w="2097" w:type="dxa"/>
          </w:tcPr>
          <w:p w14:paraId="0E28EB0D" w14:textId="77777777" w:rsidR="00C157DE" w:rsidRPr="00C157DE" w:rsidRDefault="00C157DE" w:rsidP="00F45B45">
            <w:pPr>
              <w:rPr>
                <w:b/>
                <w:bCs/>
              </w:rPr>
            </w:pPr>
            <w:r w:rsidRPr="00C157DE">
              <w:rPr>
                <w:b/>
                <w:bCs/>
              </w:rPr>
              <w:t>87,322</w:t>
            </w:r>
          </w:p>
        </w:tc>
      </w:tr>
      <w:tr w:rsidR="00C157DE" w:rsidRPr="00C157DE" w14:paraId="01F7774D" w14:textId="77777777" w:rsidTr="00C157DE">
        <w:tc>
          <w:tcPr>
            <w:tcW w:w="6091" w:type="dxa"/>
          </w:tcPr>
          <w:p w14:paraId="42DE5BE4" w14:textId="77777777" w:rsidR="00C157DE" w:rsidRPr="00C157DE" w:rsidRDefault="00C157DE" w:rsidP="00F45B45">
            <w:pPr>
              <w:rPr>
                <w:b/>
                <w:bCs/>
              </w:rPr>
            </w:pPr>
            <w:r w:rsidRPr="00C157DE">
              <w:rPr>
                <w:b/>
                <w:bCs/>
              </w:rPr>
              <w:t>Total Assets</w:t>
            </w:r>
          </w:p>
        </w:tc>
        <w:tc>
          <w:tcPr>
            <w:tcW w:w="2268" w:type="dxa"/>
          </w:tcPr>
          <w:p w14:paraId="67781A69" w14:textId="77777777" w:rsidR="00C157DE" w:rsidRPr="00C157DE" w:rsidRDefault="00C157DE" w:rsidP="00F45B45">
            <w:pPr>
              <w:rPr>
                <w:b/>
                <w:bCs/>
              </w:rPr>
            </w:pPr>
            <w:r w:rsidRPr="00C157DE">
              <w:rPr>
                <w:b/>
                <w:bCs/>
              </w:rPr>
              <w:t>1,560,963</w:t>
            </w:r>
          </w:p>
        </w:tc>
        <w:tc>
          <w:tcPr>
            <w:tcW w:w="2097" w:type="dxa"/>
          </w:tcPr>
          <w:p w14:paraId="059A0D28" w14:textId="77777777" w:rsidR="00C157DE" w:rsidRPr="00C157DE" w:rsidRDefault="00C157DE" w:rsidP="00F45B45">
            <w:pPr>
              <w:rPr>
                <w:b/>
                <w:bCs/>
              </w:rPr>
            </w:pPr>
            <w:r w:rsidRPr="00C157DE">
              <w:rPr>
                <w:b/>
                <w:bCs/>
              </w:rPr>
              <w:t>1,365,591</w:t>
            </w:r>
          </w:p>
        </w:tc>
      </w:tr>
      <w:tr w:rsidR="00C157DE" w:rsidRPr="00C157DE" w14:paraId="1B1CEA25" w14:textId="77777777" w:rsidTr="00C157DE">
        <w:tc>
          <w:tcPr>
            <w:tcW w:w="6091" w:type="dxa"/>
          </w:tcPr>
          <w:p w14:paraId="0DA86831" w14:textId="77777777" w:rsidR="00C157DE" w:rsidRPr="00C157DE" w:rsidRDefault="00C157DE" w:rsidP="000D5CB8">
            <w:pPr>
              <w:pStyle w:val="Heading3"/>
              <w:outlineLvl w:val="2"/>
            </w:pPr>
            <w:r w:rsidRPr="00C157DE">
              <w:t>Current Liabilities</w:t>
            </w:r>
          </w:p>
        </w:tc>
        <w:tc>
          <w:tcPr>
            <w:tcW w:w="2268" w:type="dxa"/>
          </w:tcPr>
          <w:p w14:paraId="10B1E185" w14:textId="77777777" w:rsidR="00C157DE" w:rsidRPr="00C157DE" w:rsidRDefault="00C157DE" w:rsidP="00F45B45"/>
        </w:tc>
        <w:tc>
          <w:tcPr>
            <w:tcW w:w="2097" w:type="dxa"/>
          </w:tcPr>
          <w:p w14:paraId="13255AE6" w14:textId="77777777" w:rsidR="00C157DE" w:rsidRPr="00C157DE" w:rsidRDefault="00C157DE" w:rsidP="00F45B45"/>
        </w:tc>
      </w:tr>
      <w:tr w:rsidR="00C157DE" w:rsidRPr="00C157DE" w14:paraId="4CC633CE" w14:textId="77777777" w:rsidTr="00C157DE">
        <w:tc>
          <w:tcPr>
            <w:tcW w:w="6091" w:type="dxa"/>
          </w:tcPr>
          <w:p w14:paraId="3F4F56F2" w14:textId="77777777" w:rsidR="00C157DE" w:rsidRPr="00C157DE" w:rsidRDefault="00C157DE" w:rsidP="00F45B45">
            <w:r w:rsidRPr="00C157DE">
              <w:t>Trade and other payables</w:t>
            </w:r>
          </w:p>
        </w:tc>
        <w:tc>
          <w:tcPr>
            <w:tcW w:w="2268" w:type="dxa"/>
          </w:tcPr>
          <w:p w14:paraId="61C76305" w14:textId="77777777" w:rsidR="00C157DE" w:rsidRPr="00C157DE" w:rsidRDefault="00C157DE" w:rsidP="00F45B45">
            <w:r w:rsidRPr="00C157DE">
              <w:t>168,716</w:t>
            </w:r>
          </w:p>
        </w:tc>
        <w:tc>
          <w:tcPr>
            <w:tcW w:w="2097" w:type="dxa"/>
          </w:tcPr>
          <w:p w14:paraId="392EA03E" w14:textId="77777777" w:rsidR="00C157DE" w:rsidRPr="00C157DE" w:rsidRDefault="00C157DE" w:rsidP="00F45B45">
            <w:r w:rsidRPr="00C157DE">
              <w:t>157,712</w:t>
            </w:r>
          </w:p>
        </w:tc>
      </w:tr>
      <w:tr w:rsidR="00C157DE" w:rsidRPr="00C157DE" w14:paraId="4CF99D13" w14:textId="77777777" w:rsidTr="00C157DE">
        <w:tc>
          <w:tcPr>
            <w:tcW w:w="6091" w:type="dxa"/>
          </w:tcPr>
          <w:p w14:paraId="6ABE3209" w14:textId="77777777" w:rsidR="00C157DE" w:rsidRPr="00C157DE" w:rsidRDefault="00C157DE" w:rsidP="00F45B45">
            <w:r w:rsidRPr="00C157DE">
              <w:t>Provisions</w:t>
            </w:r>
          </w:p>
        </w:tc>
        <w:tc>
          <w:tcPr>
            <w:tcW w:w="2268" w:type="dxa"/>
          </w:tcPr>
          <w:p w14:paraId="1D92790F" w14:textId="77777777" w:rsidR="00C157DE" w:rsidRPr="00C157DE" w:rsidRDefault="00C157DE" w:rsidP="00F45B45">
            <w:r w:rsidRPr="00C157DE">
              <w:t>-</w:t>
            </w:r>
          </w:p>
        </w:tc>
        <w:tc>
          <w:tcPr>
            <w:tcW w:w="2097" w:type="dxa"/>
          </w:tcPr>
          <w:p w14:paraId="173AFC9C" w14:textId="77777777" w:rsidR="00C157DE" w:rsidRPr="00C157DE" w:rsidRDefault="00C157DE" w:rsidP="00F45B45">
            <w:r w:rsidRPr="00C157DE">
              <w:t>28,158</w:t>
            </w:r>
          </w:p>
        </w:tc>
      </w:tr>
      <w:tr w:rsidR="00C157DE" w:rsidRPr="00C157DE" w14:paraId="7F8CD997" w14:textId="77777777" w:rsidTr="00C157DE">
        <w:tc>
          <w:tcPr>
            <w:tcW w:w="6091" w:type="dxa"/>
          </w:tcPr>
          <w:p w14:paraId="1F0BC8C8" w14:textId="77777777" w:rsidR="00C157DE" w:rsidRPr="00C157DE" w:rsidRDefault="00C157DE" w:rsidP="00F45B45">
            <w:r w:rsidRPr="00C157DE">
              <w:t>Employee benefit liability</w:t>
            </w:r>
          </w:p>
        </w:tc>
        <w:tc>
          <w:tcPr>
            <w:tcW w:w="2268" w:type="dxa"/>
          </w:tcPr>
          <w:p w14:paraId="22226332" w14:textId="77777777" w:rsidR="00C157DE" w:rsidRPr="00C157DE" w:rsidRDefault="00C157DE" w:rsidP="00F45B45">
            <w:r w:rsidRPr="00C157DE">
              <w:t>80,381</w:t>
            </w:r>
          </w:p>
        </w:tc>
        <w:tc>
          <w:tcPr>
            <w:tcW w:w="2097" w:type="dxa"/>
          </w:tcPr>
          <w:p w14:paraId="1C443408" w14:textId="77777777" w:rsidR="00C157DE" w:rsidRPr="00C157DE" w:rsidRDefault="00C157DE" w:rsidP="00F45B45">
            <w:r w:rsidRPr="00C157DE">
              <w:t>71,166</w:t>
            </w:r>
          </w:p>
        </w:tc>
      </w:tr>
      <w:tr w:rsidR="00C157DE" w:rsidRPr="00C157DE" w14:paraId="44C42881" w14:textId="77777777" w:rsidTr="00C157DE">
        <w:tc>
          <w:tcPr>
            <w:tcW w:w="6091" w:type="dxa"/>
          </w:tcPr>
          <w:p w14:paraId="59846905" w14:textId="77777777" w:rsidR="00C157DE" w:rsidRPr="00C157DE" w:rsidRDefault="00C157DE" w:rsidP="00F45B45">
            <w:r w:rsidRPr="00C157DE">
              <w:t>Other liabilities</w:t>
            </w:r>
          </w:p>
        </w:tc>
        <w:tc>
          <w:tcPr>
            <w:tcW w:w="2268" w:type="dxa"/>
          </w:tcPr>
          <w:p w14:paraId="47BDC5B3" w14:textId="77777777" w:rsidR="00C157DE" w:rsidRPr="00C157DE" w:rsidRDefault="00C157DE" w:rsidP="00F45B45">
            <w:r w:rsidRPr="00C157DE">
              <w:t>760,032</w:t>
            </w:r>
          </w:p>
        </w:tc>
        <w:tc>
          <w:tcPr>
            <w:tcW w:w="2097" w:type="dxa"/>
          </w:tcPr>
          <w:p w14:paraId="5656388C" w14:textId="77777777" w:rsidR="00C157DE" w:rsidRPr="00C157DE" w:rsidRDefault="00C157DE" w:rsidP="00F45B45">
            <w:r w:rsidRPr="00C157DE">
              <w:t>597,503</w:t>
            </w:r>
          </w:p>
        </w:tc>
      </w:tr>
      <w:tr w:rsidR="00C157DE" w:rsidRPr="00C157DE" w14:paraId="7729B52B" w14:textId="77777777" w:rsidTr="00C157DE">
        <w:tc>
          <w:tcPr>
            <w:tcW w:w="6091" w:type="dxa"/>
          </w:tcPr>
          <w:p w14:paraId="3452A7F1" w14:textId="77777777" w:rsidR="00C157DE" w:rsidRPr="000D5CB8" w:rsidRDefault="00C157DE" w:rsidP="00F45B45">
            <w:pPr>
              <w:rPr>
                <w:b/>
                <w:bCs/>
              </w:rPr>
            </w:pPr>
            <w:r w:rsidRPr="000D5CB8">
              <w:rPr>
                <w:b/>
                <w:bCs/>
              </w:rPr>
              <w:t>Total Current Liabilities</w:t>
            </w:r>
          </w:p>
        </w:tc>
        <w:tc>
          <w:tcPr>
            <w:tcW w:w="2268" w:type="dxa"/>
          </w:tcPr>
          <w:p w14:paraId="6201A28A" w14:textId="77777777" w:rsidR="00C157DE" w:rsidRPr="000D5CB8" w:rsidRDefault="00C157DE" w:rsidP="00F45B45">
            <w:pPr>
              <w:rPr>
                <w:b/>
                <w:bCs/>
              </w:rPr>
            </w:pPr>
            <w:r w:rsidRPr="000D5CB8">
              <w:rPr>
                <w:b/>
                <w:bCs/>
              </w:rPr>
              <w:t>1,009,129</w:t>
            </w:r>
          </w:p>
        </w:tc>
        <w:tc>
          <w:tcPr>
            <w:tcW w:w="2097" w:type="dxa"/>
          </w:tcPr>
          <w:p w14:paraId="73C567BD" w14:textId="77777777" w:rsidR="00C157DE" w:rsidRPr="000D5CB8" w:rsidRDefault="00C157DE" w:rsidP="00F45B45">
            <w:pPr>
              <w:rPr>
                <w:b/>
                <w:bCs/>
              </w:rPr>
            </w:pPr>
            <w:r w:rsidRPr="000D5CB8">
              <w:rPr>
                <w:b/>
                <w:bCs/>
              </w:rPr>
              <w:t>854,539</w:t>
            </w:r>
          </w:p>
        </w:tc>
      </w:tr>
      <w:tr w:rsidR="00C157DE" w:rsidRPr="00C157DE" w14:paraId="079D5E6B" w14:textId="77777777" w:rsidTr="00C157DE">
        <w:tc>
          <w:tcPr>
            <w:tcW w:w="6091" w:type="dxa"/>
          </w:tcPr>
          <w:p w14:paraId="16182809" w14:textId="77777777" w:rsidR="00C157DE" w:rsidRPr="00C157DE" w:rsidRDefault="00C157DE" w:rsidP="000D5CB8">
            <w:pPr>
              <w:pStyle w:val="Heading3"/>
              <w:outlineLvl w:val="2"/>
            </w:pPr>
            <w:r w:rsidRPr="00C157DE">
              <w:t>Non-Current Liabilities</w:t>
            </w:r>
          </w:p>
        </w:tc>
        <w:tc>
          <w:tcPr>
            <w:tcW w:w="2268" w:type="dxa"/>
          </w:tcPr>
          <w:p w14:paraId="37C4AD06" w14:textId="77777777" w:rsidR="00C157DE" w:rsidRPr="00C157DE" w:rsidRDefault="00C157DE" w:rsidP="00F45B45"/>
        </w:tc>
        <w:tc>
          <w:tcPr>
            <w:tcW w:w="2097" w:type="dxa"/>
          </w:tcPr>
          <w:p w14:paraId="0F2E8B29" w14:textId="77777777" w:rsidR="00C157DE" w:rsidRPr="00C157DE" w:rsidRDefault="00C157DE" w:rsidP="00F45B45"/>
        </w:tc>
      </w:tr>
      <w:tr w:rsidR="00C157DE" w:rsidRPr="00C157DE" w14:paraId="185EF0F2" w14:textId="77777777" w:rsidTr="00C157DE">
        <w:tc>
          <w:tcPr>
            <w:tcW w:w="6091" w:type="dxa"/>
          </w:tcPr>
          <w:p w14:paraId="3B3BDD07" w14:textId="77777777" w:rsidR="00C157DE" w:rsidRPr="00C157DE" w:rsidRDefault="00C157DE" w:rsidP="00F45B45">
            <w:r w:rsidRPr="00C157DE">
              <w:t>Provisions</w:t>
            </w:r>
          </w:p>
        </w:tc>
        <w:tc>
          <w:tcPr>
            <w:tcW w:w="2268" w:type="dxa"/>
          </w:tcPr>
          <w:p w14:paraId="029B2B31" w14:textId="77777777" w:rsidR="00C157DE" w:rsidRPr="00C157DE" w:rsidRDefault="00C157DE" w:rsidP="00F45B45">
            <w:r w:rsidRPr="00C157DE">
              <w:t>28,158</w:t>
            </w:r>
          </w:p>
        </w:tc>
        <w:tc>
          <w:tcPr>
            <w:tcW w:w="2097" w:type="dxa"/>
          </w:tcPr>
          <w:p w14:paraId="15D49B85" w14:textId="77777777" w:rsidR="00C157DE" w:rsidRPr="00C157DE" w:rsidRDefault="00C157DE" w:rsidP="00F45B45">
            <w:r w:rsidRPr="00C157DE">
              <w:t>-</w:t>
            </w:r>
          </w:p>
        </w:tc>
      </w:tr>
      <w:tr w:rsidR="00C157DE" w:rsidRPr="00C157DE" w14:paraId="415E6E6A" w14:textId="77777777" w:rsidTr="00C157DE">
        <w:tc>
          <w:tcPr>
            <w:tcW w:w="6091" w:type="dxa"/>
          </w:tcPr>
          <w:p w14:paraId="0D4E442A" w14:textId="77777777" w:rsidR="00C157DE" w:rsidRPr="00C157DE" w:rsidRDefault="00C157DE" w:rsidP="00F45B45">
            <w:r w:rsidRPr="00C157DE">
              <w:lastRenderedPageBreak/>
              <w:t>Employee benefit liability</w:t>
            </w:r>
          </w:p>
        </w:tc>
        <w:tc>
          <w:tcPr>
            <w:tcW w:w="2268" w:type="dxa"/>
          </w:tcPr>
          <w:p w14:paraId="0E99C758" w14:textId="77777777" w:rsidR="00C157DE" w:rsidRPr="00C157DE" w:rsidRDefault="00C157DE" w:rsidP="00F45B45">
            <w:r w:rsidRPr="00C157DE">
              <w:t>56,078</w:t>
            </w:r>
          </w:p>
        </w:tc>
        <w:tc>
          <w:tcPr>
            <w:tcW w:w="2097" w:type="dxa"/>
          </w:tcPr>
          <w:p w14:paraId="3C812468" w14:textId="77777777" w:rsidR="00C157DE" w:rsidRPr="00C157DE" w:rsidRDefault="00C157DE" w:rsidP="00F45B45">
            <w:r w:rsidRPr="00C157DE">
              <w:t>29,930</w:t>
            </w:r>
          </w:p>
        </w:tc>
      </w:tr>
      <w:tr w:rsidR="00C157DE" w:rsidRPr="00C157DE" w14:paraId="5D04A714" w14:textId="77777777" w:rsidTr="00C157DE">
        <w:tc>
          <w:tcPr>
            <w:tcW w:w="6091" w:type="dxa"/>
          </w:tcPr>
          <w:p w14:paraId="5EBEC108" w14:textId="77777777" w:rsidR="00C157DE" w:rsidRPr="000D5CB8" w:rsidRDefault="00C157DE" w:rsidP="00F45B45">
            <w:pPr>
              <w:rPr>
                <w:b/>
                <w:bCs/>
              </w:rPr>
            </w:pPr>
            <w:r w:rsidRPr="000D5CB8">
              <w:rPr>
                <w:b/>
                <w:bCs/>
              </w:rPr>
              <w:t>Total Non-Current Liabilities</w:t>
            </w:r>
          </w:p>
        </w:tc>
        <w:tc>
          <w:tcPr>
            <w:tcW w:w="2268" w:type="dxa"/>
          </w:tcPr>
          <w:p w14:paraId="570038A8" w14:textId="77777777" w:rsidR="00C157DE" w:rsidRPr="000D5CB8" w:rsidRDefault="00C157DE" w:rsidP="00F45B45">
            <w:pPr>
              <w:rPr>
                <w:b/>
                <w:bCs/>
              </w:rPr>
            </w:pPr>
            <w:r w:rsidRPr="000D5CB8">
              <w:rPr>
                <w:b/>
                <w:bCs/>
              </w:rPr>
              <w:t>84,236</w:t>
            </w:r>
          </w:p>
        </w:tc>
        <w:tc>
          <w:tcPr>
            <w:tcW w:w="2097" w:type="dxa"/>
          </w:tcPr>
          <w:p w14:paraId="3E8A5C53" w14:textId="77777777" w:rsidR="00C157DE" w:rsidRPr="000D5CB8" w:rsidRDefault="00C157DE" w:rsidP="00F45B45">
            <w:pPr>
              <w:rPr>
                <w:b/>
                <w:bCs/>
              </w:rPr>
            </w:pPr>
            <w:r w:rsidRPr="000D5CB8">
              <w:rPr>
                <w:b/>
                <w:bCs/>
              </w:rPr>
              <w:t>29,930</w:t>
            </w:r>
          </w:p>
        </w:tc>
      </w:tr>
      <w:tr w:rsidR="00C157DE" w:rsidRPr="00C157DE" w14:paraId="5E1EAAA2" w14:textId="77777777" w:rsidTr="00C157DE">
        <w:tc>
          <w:tcPr>
            <w:tcW w:w="6091" w:type="dxa"/>
          </w:tcPr>
          <w:p w14:paraId="168A9CAF" w14:textId="77777777" w:rsidR="00C157DE" w:rsidRPr="000D5CB8" w:rsidRDefault="00C157DE" w:rsidP="00F45B45">
            <w:pPr>
              <w:rPr>
                <w:b/>
                <w:bCs/>
              </w:rPr>
            </w:pPr>
            <w:r w:rsidRPr="000D5CB8">
              <w:rPr>
                <w:b/>
                <w:bCs/>
              </w:rPr>
              <w:t>Total Liabilities</w:t>
            </w:r>
          </w:p>
        </w:tc>
        <w:tc>
          <w:tcPr>
            <w:tcW w:w="2268" w:type="dxa"/>
          </w:tcPr>
          <w:p w14:paraId="5EA9A70F" w14:textId="77777777" w:rsidR="00C157DE" w:rsidRPr="000D5CB8" w:rsidRDefault="00C157DE" w:rsidP="00F45B45">
            <w:pPr>
              <w:rPr>
                <w:b/>
                <w:bCs/>
              </w:rPr>
            </w:pPr>
            <w:r w:rsidRPr="000D5CB8">
              <w:rPr>
                <w:b/>
                <w:bCs/>
              </w:rPr>
              <w:t>1,093,365</w:t>
            </w:r>
          </w:p>
        </w:tc>
        <w:tc>
          <w:tcPr>
            <w:tcW w:w="2097" w:type="dxa"/>
          </w:tcPr>
          <w:p w14:paraId="2D7AE136" w14:textId="77777777" w:rsidR="00C157DE" w:rsidRPr="000D5CB8" w:rsidRDefault="00C157DE" w:rsidP="00F45B45">
            <w:pPr>
              <w:rPr>
                <w:b/>
                <w:bCs/>
              </w:rPr>
            </w:pPr>
            <w:r w:rsidRPr="000D5CB8">
              <w:rPr>
                <w:b/>
                <w:bCs/>
              </w:rPr>
              <w:t>884,469</w:t>
            </w:r>
          </w:p>
        </w:tc>
      </w:tr>
      <w:tr w:rsidR="00C157DE" w:rsidRPr="00C157DE" w14:paraId="7EA6E765" w14:textId="77777777" w:rsidTr="00C157DE">
        <w:tc>
          <w:tcPr>
            <w:tcW w:w="6091" w:type="dxa"/>
          </w:tcPr>
          <w:p w14:paraId="5984F6C5" w14:textId="1179AFB6" w:rsidR="00C157DE" w:rsidRPr="000D5CB8" w:rsidRDefault="00C157DE" w:rsidP="000D5CB8">
            <w:pPr>
              <w:rPr>
                <w:b/>
                <w:bCs/>
              </w:rPr>
            </w:pPr>
            <w:r w:rsidRPr="000D5CB8">
              <w:rPr>
                <w:b/>
                <w:bCs/>
              </w:rPr>
              <w:t>Net Assets</w:t>
            </w:r>
          </w:p>
        </w:tc>
        <w:tc>
          <w:tcPr>
            <w:tcW w:w="2268" w:type="dxa"/>
          </w:tcPr>
          <w:p w14:paraId="5CFBCF50" w14:textId="77777777" w:rsidR="00C157DE" w:rsidRPr="000D5CB8" w:rsidRDefault="00C157DE" w:rsidP="000D5CB8">
            <w:pPr>
              <w:rPr>
                <w:b/>
                <w:bCs/>
              </w:rPr>
            </w:pPr>
            <w:r w:rsidRPr="000D5CB8">
              <w:rPr>
                <w:b/>
                <w:bCs/>
              </w:rPr>
              <w:t>467,598</w:t>
            </w:r>
          </w:p>
        </w:tc>
        <w:tc>
          <w:tcPr>
            <w:tcW w:w="2097" w:type="dxa"/>
          </w:tcPr>
          <w:p w14:paraId="434D118B" w14:textId="77777777" w:rsidR="00C157DE" w:rsidRPr="000D5CB8" w:rsidRDefault="00C157DE" w:rsidP="000D5CB8">
            <w:pPr>
              <w:rPr>
                <w:b/>
                <w:bCs/>
              </w:rPr>
            </w:pPr>
            <w:r w:rsidRPr="000D5CB8">
              <w:rPr>
                <w:b/>
                <w:bCs/>
              </w:rPr>
              <w:t>481,122</w:t>
            </w:r>
          </w:p>
        </w:tc>
      </w:tr>
      <w:tr w:rsidR="00C157DE" w:rsidRPr="00C157DE" w14:paraId="67FAD635" w14:textId="77777777" w:rsidTr="00C157DE">
        <w:tc>
          <w:tcPr>
            <w:tcW w:w="6091" w:type="dxa"/>
          </w:tcPr>
          <w:p w14:paraId="64080F17" w14:textId="77777777" w:rsidR="00C157DE" w:rsidRPr="00C157DE" w:rsidRDefault="00C157DE" w:rsidP="000D5CB8">
            <w:pPr>
              <w:pStyle w:val="Heading3"/>
              <w:outlineLvl w:val="2"/>
            </w:pPr>
            <w:r w:rsidRPr="00C157DE">
              <w:t>Equity</w:t>
            </w:r>
          </w:p>
        </w:tc>
        <w:tc>
          <w:tcPr>
            <w:tcW w:w="2268" w:type="dxa"/>
          </w:tcPr>
          <w:p w14:paraId="2437D9DF" w14:textId="77777777" w:rsidR="00C157DE" w:rsidRPr="00C157DE" w:rsidRDefault="00C157DE" w:rsidP="00F45B45"/>
        </w:tc>
        <w:tc>
          <w:tcPr>
            <w:tcW w:w="2097" w:type="dxa"/>
          </w:tcPr>
          <w:p w14:paraId="0DAE04CD" w14:textId="77777777" w:rsidR="00C157DE" w:rsidRPr="00C157DE" w:rsidRDefault="00C157DE" w:rsidP="00F45B45"/>
        </w:tc>
      </w:tr>
      <w:tr w:rsidR="00C157DE" w:rsidRPr="00C157DE" w14:paraId="56728B1D" w14:textId="77777777" w:rsidTr="00C157DE">
        <w:tc>
          <w:tcPr>
            <w:tcW w:w="6091" w:type="dxa"/>
          </w:tcPr>
          <w:p w14:paraId="1CF88FC4" w14:textId="77777777" w:rsidR="00C157DE" w:rsidRPr="00C157DE" w:rsidRDefault="00C157DE" w:rsidP="00F45B45">
            <w:r w:rsidRPr="00C157DE">
              <w:t>Retained surplus</w:t>
            </w:r>
          </w:p>
        </w:tc>
        <w:tc>
          <w:tcPr>
            <w:tcW w:w="2268" w:type="dxa"/>
          </w:tcPr>
          <w:p w14:paraId="06B003E2" w14:textId="77777777" w:rsidR="00C157DE" w:rsidRPr="00C157DE" w:rsidRDefault="00C157DE" w:rsidP="00F45B45">
            <w:r w:rsidRPr="00C157DE">
              <w:t>467,568</w:t>
            </w:r>
          </w:p>
        </w:tc>
        <w:tc>
          <w:tcPr>
            <w:tcW w:w="2097" w:type="dxa"/>
          </w:tcPr>
          <w:p w14:paraId="2991B8FD" w14:textId="77777777" w:rsidR="00C157DE" w:rsidRPr="00C157DE" w:rsidRDefault="00C157DE" w:rsidP="00F45B45">
            <w:r w:rsidRPr="00C157DE">
              <w:t>481,122</w:t>
            </w:r>
          </w:p>
        </w:tc>
      </w:tr>
      <w:tr w:rsidR="00C157DE" w:rsidRPr="00C157DE" w14:paraId="69150988" w14:textId="77777777" w:rsidTr="00C157DE">
        <w:tc>
          <w:tcPr>
            <w:tcW w:w="6091" w:type="dxa"/>
          </w:tcPr>
          <w:p w14:paraId="034FC323" w14:textId="77777777" w:rsidR="00C157DE" w:rsidRPr="000D5CB8" w:rsidRDefault="00C157DE" w:rsidP="00F45B45">
            <w:pPr>
              <w:rPr>
                <w:b/>
                <w:bCs/>
              </w:rPr>
            </w:pPr>
            <w:r w:rsidRPr="000D5CB8">
              <w:rPr>
                <w:b/>
                <w:bCs/>
              </w:rPr>
              <w:t>Total equity</w:t>
            </w:r>
          </w:p>
        </w:tc>
        <w:tc>
          <w:tcPr>
            <w:tcW w:w="2268" w:type="dxa"/>
          </w:tcPr>
          <w:p w14:paraId="25FDC2E6" w14:textId="77777777" w:rsidR="00C157DE" w:rsidRPr="000D5CB8" w:rsidRDefault="00C157DE" w:rsidP="00F45B45">
            <w:pPr>
              <w:rPr>
                <w:b/>
                <w:bCs/>
              </w:rPr>
            </w:pPr>
            <w:r w:rsidRPr="000D5CB8">
              <w:rPr>
                <w:b/>
                <w:bCs/>
              </w:rPr>
              <w:t>467,568</w:t>
            </w:r>
          </w:p>
        </w:tc>
        <w:tc>
          <w:tcPr>
            <w:tcW w:w="2097" w:type="dxa"/>
          </w:tcPr>
          <w:p w14:paraId="132AB957" w14:textId="77777777" w:rsidR="00C157DE" w:rsidRPr="000D5CB8" w:rsidRDefault="00C157DE" w:rsidP="00F45B45">
            <w:pPr>
              <w:rPr>
                <w:b/>
                <w:bCs/>
              </w:rPr>
            </w:pPr>
            <w:r w:rsidRPr="000D5CB8">
              <w:rPr>
                <w:b/>
                <w:bCs/>
              </w:rPr>
              <w:t>481,122</w:t>
            </w:r>
          </w:p>
        </w:tc>
      </w:tr>
    </w:tbl>
    <w:p w14:paraId="654BA320" w14:textId="77777777" w:rsidR="00BE26EB" w:rsidRDefault="00BE26EB" w:rsidP="00BE26EB"/>
    <w:p w14:paraId="76E33F51" w14:textId="45E3E5E1" w:rsidR="00BE26EB" w:rsidRPr="00BE26EB" w:rsidRDefault="00BE26EB" w:rsidP="00C157DE">
      <w:pPr>
        <w:pStyle w:val="Heading2"/>
      </w:pPr>
      <w:r w:rsidRPr="00BE26EB">
        <w:t>Statement of Changes in Equity</w:t>
      </w:r>
      <w:r w:rsidR="00C157DE">
        <w:t xml:space="preserve"> </w:t>
      </w:r>
      <w:r w:rsidRPr="00BE26EB">
        <w:t>For the year ended 30 June 2019</w:t>
      </w:r>
      <w:r w:rsidRPr="00BE26EB">
        <w:tab/>
      </w:r>
    </w:p>
    <w:tbl>
      <w:tblPr>
        <w:tblStyle w:val="TableGrid"/>
        <w:tblW w:w="0" w:type="auto"/>
        <w:tblLook w:val="04A0" w:firstRow="1" w:lastRow="0" w:firstColumn="1" w:lastColumn="0" w:noHBand="0" w:noVBand="1"/>
      </w:tblPr>
      <w:tblGrid>
        <w:gridCol w:w="6091"/>
        <w:gridCol w:w="2268"/>
        <w:gridCol w:w="2097"/>
      </w:tblGrid>
      <w:tr w:rsidR="000D5CB8" w:rsidRPr="00C157DE" w14:paraId="549BE706" w14:textId="77777777" w:rsidTr="00C157DE">
        <w:tc>
          <w:tcPr>
            <w:tcW w:w="6091" w:type="dxa"/>
          </w:tcPr>
          <w:p w14:paraId="33BD7323" w14:textId="77777777" w:rsidR="000D5CB8" w:rsidRPr="000D5CB8" w:rsidRDefault="000D5CB8" w:rsidP="000D5CB8">
            <w:pPr>
              <w:rPr>
                <w:b/>
                <w:bCs/>
              </w:rPr>
            </w:pPr>
          </w:p>
        </w:tc>
        <w:tc>
          <w:tcPr>
            <w:tcW w:w="2268" w:type="dxa"/>
          </w:tcPr>
          <w:p w14:paraId="05F6E3E7" w14:textId="0D955E9A" w:rsidR="000D5CB8" w:rsidRPr="000D5CB8" w:rsidRDefault="000D5CB8" w:rsidP="000D5CB8">
            <w:pPr>
              <w:rPr>
                <w:b/>
                <w:bCs/>
              </w:rPr>
            </w:pPr>
            <w:r w:rsidRPr="00BE26EB">
              <w:rPr>
                <w:b/>
                <w:bCs/>
              </w:rPr>
              <w:t>2019</w:t>
            </w:r>
          </w:p>
        </w:tc>
        <w:tc>
          <w:tcPr>
            <w:tcW w:w="2097" w:type="dxa"/>
          </w:tcPr>
          <w:p w14:paraId="6B91D4C1" w14:textId="365AE7CD" w:rsidR="000D5CB8" w:rsidRPr="000D5CB8" w:rsidRDefault="000D5CB8" w:rsidP="000D5CB8">
            <w:pPr>
              <w:rPr>
                <w:b/>
                <w:bCs/>
              </w:rPr>
            </w:pPr>
            <w:r w:rsidRPr="00BE26EB">
              <w:rPr>
                <w:b/>
                <w:bCs/>
              </w:rPr>
              <w:t>2018</w:t>
            </w:r>
          </w:p>
        </w:tc>
      </w:tr>
      <w:tr w:rsidR="00C157DE" w:rsidRPr="00C157DE" w14:paraId="1C181137" w14:textId="77777777" w:rsidTr="00C157DE">
        <w:tc>
          <w:tcPr>
            <w:tcW w:w="6091" w:type="dxa"/>
          </w:tcPr>
          <w:p w14:paraId="6D0A3B62" w14:textId="77777777" w:rsidR="00C157DE" w:rsidRPr="000D5CB8" w:rsidRDefault="00C157DE" w:rsidP="00F45B45">
            <w:pPr>
              <w:rPr>
                <w:b/>
                <w:bCs/>
              </w:rPr>
            </w:pPr>
            <w:r w:rsidRPr="000D5CB8">
              <w:rPr>
                <w:b/>
                <w:bCs/>
              </w:rPr>
              <w:t>Total Equity at the beginning of the financial year</w:t>
            </w:r>
          </w:p>
        </w:tc>
        <w:tc>
          <w:tcPr>
            <w:tcW w:w="2268" w:type="dxa"/>
          </w:tcPr>
          <w:p w14:paraId="3C9518BC" w14:textId="77777777" w:rsidR="00C157DE" w:rsidRPr="000D5CB8" w:rsidRDefault="00C157DE" w:rsidP="00F45B45">
            <w:pPr>
              <w:rPr>
                <w:b/>
                <w:bCs/>
              </w:rPr>
            </w:pPr>
            <w:r w:rsidRPr="000D5CB8">
              <w:rPr>
                <w:b/>
                <w:bCs/>
              </w:rPr>
              <w:t>481,122</w:t>
            </w:r>
          </w:p>
        </w:tc>
        <w:tc>
          <w:tcPr>
            <w:tcW w:w="2097" w:type="dxa"/>
          </w:tcPr>
          <w:p w14:paraId="3EE2C122" w14:textId="77777777" w:rsidR="00C157DE" w:rsidRPr="000D5CB8" w:rsidRDefault="00C157DE" w:rsidP="00F45B45">
            <w:pPr>
              <w:rPr>
                <w:b/>
                <w:bCs/>
              </w:rPr>
            </w:pPr>
            <w:r w:rsidRPr="000D5CB8">
              <w:rPr>
                <w:b/>
                <w:bCs/>
              </w:rPr>
              <w:t>473,005</w:t>
            </w:r>
          </w:p>
        </w:tc>
      </w:tr>
      <w:tr w:rsidR="00C157DE" w:rsidRPr="00C157DE" w14:paraId="07AC23AB" w14:textId="77777777" w:rsidTr="00C157DE">
        <w:tc>
          <w:tcPr>
            <w:tcW w:w="6091" w:type="dxa"/>
          </w:tcPr>
          <w:p w14:paraId="625938FB" w14:textId="77777777" w:rsidR="00C157DE" w:rsidRPr="00C157DE" w:rsidRDefault="00C157DE" w:rsidP="00F45B45">
            <w:r w:rsidRPr="00C157DE">
              <w:t>Total comprehensive income for the year</w:t>
            </w:r>
          </w:p>
        </w:tc>
        <w:tc>
          <w:tcPr>
            <w:tcW w:w="2268" w:type="dxa"/>
          </w:tcPr>
          <w:p w14:paraId="13EBD266" w14:textId="77777777" w:rsidR="00C157DE" w:rsidRPr="00C157DE" w:rsidRDefault="00C157DE" w:rsidP="00F45B45">
            <w:r w:rsidRPr="00C157DE">
              <w:t>(13,524)</w:t>
            </w:r>
          </w:p>
        </w:tc>
        <w:tc>
          <w:tcPr>
            <w:tcW w:w="2097" w:type="dxa"/>
          </w:tcPr>
          <w:p w14:paraId="58F34508" w14:textId="77777777" w:rsidR="00C157DE" w:rsidRPr="00C157DE" w:rsidRDefault="00C157DE" w:rsidP="00F45B45">
            <w:r w:rsidRPr="00C157DE">
              <w:t>8,117</w:t>
            </w:r>
          </w:p>
        </w:tc>
      </w:tr>
      <w:tr w:rsidR="00C157DE" w:rsidRPr="00C157DE" w14:paraId="2ED2E6C9" w14:textId="77777777" w:rsidTr="00C157DE">
        <w:tc>
          <w:tcPr>
            <w:tcW w:w="6091" w:type="dxa"/>
          </w:tcPr>
          <w:p w14:paraId="71E10FD7" w14:textId="77777777" w:rsidR="00C157DE" w:rsidRPr="000D5CB8" w:rsidRDefault="00C157DE" w:rsidP="00F45B45">
            <w:pPr>
              <w:rPr>
                <w:b/>
                <w:bCs/>
              </w:rPr>
            </w:pPr>
            <w:r w:rsidRPr="000D5CB8">
              <w:rPr>
                <w:b/>
                <w:bCs/>
              </w:rPr>
              <w:t xml:space="preserve">Total Equity at the end of the financial year </w:t>
            </w:r>
          </w:p>
        </w:tc>
        <w:tc>
          <w:tcPr>
            <w:tcW w:w="2268" w:type="dxa"/>
          </w:tcPr>
          <w:p w14:paraId="62299833" w14:textId="77777777" w:rsidR="00C157DE" w:rsidRPr="000D5CB8" w:rsidRDefault="00C157DE" w:rsidP="00F45B45">
            <w:pPr>
              <w:rPr>
                <w:b/>
                <w:bCs/>
              </w:rPr>
            </w:pPr>
            <w:r w:rsidRPr="000D5CB8">
              <w:rPr>
                <w:b/>
                <w:bCs/>
              </w:rPr>
              <w:t>467,598</w:t>
            </w:r>
          </w:p>
        </w:tc>
        <w:tc>
          <w:tcPr>
            <w:tcW w:w="2097" w:type="dxa"/>
          </w:tcPr>
          <w:p w14:paraId="70C0C859" w14:textId="77777777" w:rsidR="00C157DE" w:rsidRPr="000D5CB8" w:rsidRDefault="00C157DE" w:rsidP="00F45B45">
            <w:pPr>
              <w:rPr>
                <w:b/>
                <w:bCs/>
              </w:rPr>
            </w:pPr>
            <w:r w:rsidRPr="000D5CB8">
              <w:rPr>
                <w:b/>
                <w:bCs/>
              </w:rPr>
              <w:t>481,122</w:t>
            </w:r>
          </w:p>
        </w:tc>
      </w:tr>
    </w:tbl>
    <w:p w14:paraId="5E9F246E" w14:textId="77777777" w:rsidR="00C157DE" w:rsidRDefault="00C157DE" w:rsidP="00BE26EB"/>
    <w:p w14:paraId="7047174F" w14:textId="433DAEDD" w:rsidR="00BE26EB" w:rsidRPr="00BE26EB" w:rsidRDefault="00BE26EB" w:rsidP="00C157DE">
      <w:pPr>
        <w:pStyle w:val="Heading2"/>
      </w:pPr>
      <w:r w:rsidRPr="00BE26EB">
        <w:t>Statement of Cash Flow</w:t>
      </w:r>
      <w:r w:rsidR="00C157DE">
        <w:t xml:space="preserve"> </w:t>
      </w:r>
      <w:r w:rsidRPr="00BE26EB">
        <w:t>For the year ended 30 June 2019</w:t>
      </w:r>
      <w:r w:rsidRPr="00BE26EB">
        <w:tab/>
      </w:r>
    </w:p>
    <w:tbl>
      <w:tblPr>
        <w:tblStyle w:val="TableGrid"/>
        <w:tblW w:w="0" w:type="auto"/>
        <w:tblLook w:val="04A0" w:firstRow="1" w:lastRow="0" w:firstColumn="1" w:lastColumn="0" w:noHBand="0" w:noVBand="1"/>
      </w:tblPr>
      <w:tblGrid>
        <w:gridCol w:w="6091"/>
        <w:gridCol w:w="2268"/>
        <w:gridCol w:w="2097"/>
      </w:tblGrid>
      <w:tr w:rsidR="000D5CB8" w:rsidRPr="00C157DE" w14:paraId="63125208" w14:textId="77777777" w:rsidTr="00C157DE">
        <w:tc>
          <w:tcPr>
            <w:tcW w:w="6091" w:type="dxa"/>
          </w:tcPr>
          <w:p w14:paraId="28777F32" w14:textId="77777777" w:rsidR="000D5CB8" w:rsidRPr="00C157DE" w:rsidRDefault="000D5CB8" w:rsidP="000D5CB8">
            <w:pPr>
              <w:pStyle w:val="Heading3"/>
              <w:outlineLvl w:val="2"/>
            </w:pPr>
          </w:p>
        </w:tc>
        <w:tc>
          <w:tcPr>
            <w:tcW w:w="2268" w:type="dxa"/>
          </w:tcPr>
          <w:p w14:paraId="0B577802" w14:textId="361F8E91" w:rsidR="000D5CB8" w:rsidRPr="00C157DE" w:rsidRDefault="000D5CB8" w:rsidP="000D5CB8">
            <w:r w:rsidRPr="00BE26EB">
              <w:rPr>
                <w:b/>
                <w:bCs/>
              </w:rPr>
              <w:t>2019</w:t>
            </w:r>
          </w:p>
        </w:tc>
        <w:tc>
          <w:tcPr>
            <w:tcW w:w="2097" w:type="dxa"/>
          </w:tcPr>
          <w:p w14:paraId="35A3AC36" w14:textId="73AD1023" w:rsidR="000D5CB8" w:rsidRPr="00C157DE" w:rsidRDefault="000D5CB8" w:rsidP="000D5CB8">
            <w:r w:rsidRPr="00BE26EB">
              <w:rPr>
                <w:b/>
                <w:bCs/>
              </w:rPr>
              <w:t>2018</w:t>
            </w:r>
          </w:p>
        </w:tc>
      </w:tr>
      <w:tr w:rsidR="00C157DE" w:rsidRPr="00C157DE" w14:paraId="73FBB2F3" w14:textId="77777777" w:rsidTr="00C157DE">
        <w:tc>
          <w:tcPr>
            <w:tcW w:w="6091" w:type="dxa"/>
          </w:tcPr>
          <w:p w14:paraId="5C865039" w14:textId="77D3846B" w:rsidR="00C157DE" w:rsidRPr="00C157DE" w:rsidRDefault="00EA296F" w:rsidP="000D5CB8">
            <w:pPr>
              <w:pStyle w:val="Heading3"/>
              <w:outlineLvl w:val="2"/>
            </w:pPr>
            <w:r w:rsidRPr="00C157DE">
              <w:t xml:space="preserve">Cash Flows </w:t>
            </w:r>
            <w:proofErr w:type="gramStart"/>
            <w:r w:rsidRPr="00C157DE">
              <w:t>From</w:t>
            </w:r>
            <w:proofErr w:type="gramEnd"/>
            <w:r w:rsidRPr="00C157DE">
              <w:t xml:space="preserve"> Operating Activities</w:t>
            </w:r>
          </w:p>
        </w:tc>
        <w:tc>
          <w:tcPr>
            <w:tcW w:w="2268" w:type="dxa"/>
          </w:tcPr>
          <w:p w14:paraId="27C071B3" w14:textId="77777777" w:rsidR="00C157DE" w:rsidRPr="00C157DE" w:rsidRDefault="00C157DE" w:rsidP="00F45B45"/>
        </w:tc>
        <w:tc>
          <w:tcPr>
            <w:tcW w:w="2097" w:type="dxa"/>
          </w:tcPr>
          <w:p w14:paraId="1CD6B573" w14:textId="77777777" w:rsidR="00C157DE" w:rsidRPr="00C157DE" w:rsidRDefault="00C157DE" w:rsidP="00F45B45"/>
        </w:tc>
      </w:tr>
      <w:tr w:rsidR="00C157DE" w:rsidRPr="00C157DE" w14:paraId="208477FB" w14:textId="77777777" w:rsidTr="00C157DE">
        <w:tc>
          <w:tcPr>
            <w:tcW w:w="6091" w:type="dxa"/>
          </w:tcPr>
          <w:p w14:paraId="1A0CFAA2" w14:textId="77777777" w:rsidR="00C157DE" w:rsidRPr="00C157DE" w:rsidRDefault="00C157DE" w:rsidP="00F45B45">
            <w:r w:rsidRPr="00C157DE">
              <w:t>Receipts from Members</w:t>
            </w:r>
          </w:p>
        </w:tc>
        <w:tc>
          <w:tcPr>
            <w:tcW w:w="2268" w:type="dxa"/>
          </w:tcPr>
          <w:p w14:paraId="7EF7D11F" w14:textId="77777777" w:rsidR="00C157DE" w:rsidRPr="00C157DE" w:rsidRDefault="00C157DE" w:rsidP="00F45B45">
            <w:r w:rsidRPr="00C157DE">
              <w:t>1,933,651</w:t>
            </w:r>
          </w:p>
        </w:tc>
        <w:tc>
          <w:tcPr>
            <w:tcW w:w="2097" w:type="dxa"/>
          </w:tcPr>
          <w:p w14:paraId="041E7BEA" w14:textId="77777777" w:rsidR="00C157DE" w:rsidRPr="00C157DE" w:rsidRDefault="00C157DE" w:rsidP="00F45B45">
            <w:r w:rsidRPr="00C157DE">
              <w:t>2,179,524</w:t>
            </w:r>
          </w:p>
        </w:tc>
      </w:tr>
      <w:tr w:rsidR="00C157DE" w:rsidRPr="00C157DE" w14:paraId="521FF512" w14:textId="77777777" w:rsidTr="00C157DE">
        <w:tc>
          <w:tcPr>
            <w:tcW w:w="6091" w:type="dxa"/>
          </w:tcPr>
          <w:p w14:paraId="14FBA5F6" w14:textId="77777777" w:rsidR="00C157DE" w:rsidRPr="00C157DE" w:rsidRDefault="00C157DE" w:rsidP="00F45B45">
            <w:r w:rsidRPr="00C157DE">
              <w:t>Payments to suppliers and employees</w:t>
            </w:r>
          </w:p>
        </w:tc>
        <w:tc>
          <w:tcPr>
            <w:tcW w:w="2268" w:type="dxa"/>
          </w:tcPr>
          <w:p w14:paraId="151A96AD" w14:textId="77777777" w:rsidR="00C157DE" w:rsidRPr="00C157DE" w:rsidRDefault="00C157DE" w:rsidP="00F45B45">
            <w:r w:rsidRPr="00C157DE">
              <w:t>(1,980,755)</w:t>
            </w:r>
          </w:p>
        </w:tc>
        <w:tc>
          <w:tcPr>
            <w:tcW w:w="2097" w:type="dxa"/>
          </w:tcPr>
          <w:p w14:paraId="38132930" w14:textId="77777777" w:rsidR="00C157DE" w:rsidRPr="00C157DE" w:rsidRDefault="00C157DE" w:rsidP="00F45B45">
            <w:r w:rsidRPr="00C157DE">
              <w:t>(1,907,580)</w:t>
            </w:r>
          </w:p>
        </w:tc>
      </w:tr>
      <w:tr w:rsidR="00C157DE" w:rsidRPr="00C157DE" w14:paraId="02A9E148" w14:textId="77777777" w:rsidTr="00C157DE">
        <w:tc>
          <w:tcPr>
            <w:tcW w:w="6091" w:type="dxa"/>
          </w:tcPr>
          <w:p w14:paraId="2F099D30" w14:textId="77777777" w:rsidR="00C157DE" w:rsidRPr="00C157DE" w:rsidRDefault="00C157DE" w:rsidP="00F45B45">
            <w:r w:rsidRPr="00C157DE">
              <w:t>Interest received</w:t>
            </w:r>
          </w:p>
        </w:tc>
        <w:tc>
          <w:tcPr>
            <w:tcW w:w="2268" w:type="dxa"/>
          </w:tcPr>
          <w:p w14:paraId="1EE018A0" w14:textId="77777777" w:rsidR="00C157DE" w:rsidRPr="00C157DE" w:rsidRDefault="00C157DE" w:rsidP="00F45B45">
            <w:r w:rsidRPr="00C157DE">
              <w:t>17,125</w:t>
            </w:r>
          </w:p>
        </w:tc>
        <w:tc>
          <w:tcPr>
            <w:tcW w:w="2097" w:type="dxa"/>
          </w:tcPr>
          <w:p w14:paraId="161D71F7" w14:textId="77777777" w:rsidR="00C157DE" w:rsidRPr="00C157DE" w:rsidRDefault="00C157DE" w:rsidP="00F45B45">
            <w:r w:rsidRPr="00C157DE">
              <w:t>13,881</w:t>
            </w:r>
          </w:p>
        </w:tc>
      </w:tr>
      <w:tr w:rsidR="00C157DE" w:rsidRPr="00C157DE" w14:paraId="4337B46F" w14:textId="77777777" w:rsidTr="00C157DE">
        <w:tc>
          <w:tcPr>
            <w:tcW w:w="6091" w:type="dxa"/>
          </w:tcPr>
          <w:p w14:paraId="4A3444BF" w14:textId="77777777" w:rsidR="00C157DE" w:rsidRPr="000D5CB8" w:rsidRDefault="00C157DE" w:rsidP="00F45B45">
            <w:pPr>
              <w:rPr>
                <w:b/>
                <w:bCs/>
              </w:rPr>
            </w:pPr>
            <w:r w:rsidRPr="000D5CB8">
              <w:rPr>
                <w:b/>
                <w:bCs/>
              </w:rPr>
              <w:t>Net cash inflow from operating activities</w:t>
            </w:r>
          </w:p>
        </w:tc>
        <w:tc>
          <w:tcPr>
            <w:tcW w:w="2268" w:type="dxa"/>
          </w:tcPr>
          <w:p w14:paraId="523E3911" w14:textId="77777777" w:rsidR="00C157DE" w:rsidRPr="000D5CB8" w:rsidRDefault="00C157DE" w:rsidP="00F45B45">
            <w:pPr>
              <w:rPr>
                <w:b/>
                <w:bCs/>
              </w:rPr>
            </w:pPr>
            <w:r w:rsidRPr="000D5CB8">
              <w:rPr>
                <w:b/>
                <w:bCs/>
              </w:rPr>
              <w:t>(29,979</w:t>
            </w:r>
          </w:p>
        </w:tc>
        <w:tc>
          <w:tcPr>
            <w:tcW w:w="2097" w:type="dxa"/>
          </w:tcPr>
          <w:p w14:paraId="38201E50" w14:textId="77777777" w:rsidR="00C157DE" w:rsidRPr="000D5CB8" w:rsidRDefault="00C157DE" w:rsidP="00F45B45">
            <w:pPr>
              <w:rPr>
                <w:b/>
                <w:bCs/>
              </w:rPr>
            </w:pPr>
            <w:r w:rsidRPr="000D5CB8">
              <w:rPr>
                <w:b/>
                <w:bCs/>
              </w:rPr>
              <w:t>285,825</w:t>
            </w:r>
          </w:p>
        </w:tc>
      </w:tr>
      <w:tr w:rsidR="00C157DE" w:rsidRPr="00C157DE" w14:paraId="39376798" w14:textId="77777777" w:rsidTr="00C157DE">
        <w:tc>
          <w:tcPr>
            <w:tcW w:w="6091" w:type="dxa"/>
          </w:tcPr>
          <w:p w14:paraId="4B11EA34" w14:textId="4C1FCF2E" w:rsidR="00C157DE" w:rsidRPr="00C157DE" w:rsidRDefault="000D5CB8" w:rsidP="000D5CB8">
            <w:pPr>
              <w:pStyle w:val="Heading3"/>
              <w:outlineLvl w:val="2"/>
            </w:pPr>
            <w:r w:rsidRPr="00C157DE">
              <w:t xml:space="preserve">Cash Flows </w:t>
            </w:r>
            <w:proofErr w:type="gramStart"/>
            <w:r w:rsidRPr="00C157DE">
              <w:t>From</w:t>
            </w:r>
            <w:proofErr w:type="gramEnd"/>
            <w:r w:rsidRPr="00C157DE">
              <w:t xml:space="preserve"> Investing Activities</w:t>
            </w:r>
          </w:p>
        </w:tc>
        <w:tc>
          <w:tcPr>
            <w:tcW w:w="2268" w:type="dxa"/>
          </w:tcPr>
          <w:p w14:paraId="0952AB9B" w14:textId="77777777" w:rsidR="00C157DE" w:rsidRPr="00C157DE" w:rsidRDefault="00C157DE" w:rsidP="00F45B45"/>
        </w:tc>
        <w:tc>
          <w:tcPr>
            <w:tcW w:w="2097" w:type="dxa"/>
          </w:tcPr>
          <w:p w14:paraId="438DFD33" w14:textId="77777777" w:rsidR="00C157DE" w:rsidRPr="00C157DE" w:rsidRDefault="00C157DE" w:rsidP="00F45B45"/>
        </w:tc>
      </w:tr>
      <w:tr w:rsidR="00C157DE" w:rsidRPr="00C157DE" w14:paraId="1FC90A8D" w14:textId="77777777" w:rsidTr="00C157DE">
        <w:tc>
          <w:tcPr>
            <w:tcW w:w="6091" w:type="dxa"/>
          </w:tcPr>
          <w:p w14:paraId="1D8DF26F" w14:textId="77777777" w:rsidR="00C157DE" w:rsidRPr="00C157DE" w:rsidRDefault="00C157DE" w:rsidP="00F45B45">
            <w:r w:rsidRPr="00C157DE">
              <w:t>Payments for office equipment</w:t>
            </w:r>
          </w:p>
        </w:tc>
        <w:tc>
          <w:tcPr>
            <w:tcW w:w="2268" w:type="dxa"/>
          </w:tcPr>
          <w:p w14:paraId="699A5959" w14:textId="77777777" w:rsidR="00C157DE" w:rsidRPr="00C157DE" w:rsidRDefault="00C157DE" w:rsidP="00F45B45">
            <w:r w:rsidRPr="00C157DE">
              <w:t>(6,973)</w:t>
            </w:r>
          </w:p>
        </w:tc>
        <w:tc>
          <w:tcPr>
            <w:tcW w:w="2097" w:type="dxa"/>
          </w:tcPr>
          <w:p w14:paraId="6162A10B" w14:textId="77777777" w:rsidR="00C157DE" w:rsidRPr="00C157DE" w:rsidRDefault="00C157DE" w:rsidP="00F45B45">
            <w:r w:rsidRPr="00C157DE">
              <w:t>(14,848)</w:t>
            </w:r>
          </w:p>
        </w:tc>
      </w:tr>
      <w:tr w:rsidR="00C157DE" w:rsidRPr="00C157DE" w14:paraId="43DEC7EF" w14:textId="77777777" w:rsidTr="00C157DE">
        <w:tc>
          <w:tcPr>
            <w:tcW w:w="6091" w:type="dxa"/>
          </w:tcPr>
          <w:p w14:paraId="7EA677BE" w14:textId="77777777" w:rsidR="00C157DE" w:rsidRPr="00C157DE" w:rsidRDefault="00C157DE" w:rsidP="00F45B45">
            <w:r w:rsidRPr="00C157DE">
              <w:t>Proceeds from office equipment</w:t>
            </w:r>
          </w:p>
        </w:tc>
        <w:tc>
          <w:tcPr>
            <w:tcW w:w="2268" w:type="dxa"/>
          </w:tcPr>
          <w:p w14:paraId="534CC0E3" w14:textId="77777777" w:rsidR="00C157DE" w:rsidRPr="00C157DE" w:rsidRDefault="00C157DE" w:rsidP="00F45B45">
            <w:r w:rsidRPr="00C157DE">
              <w:t>(22,920)</w:t>
            </w:r>
          </w:p>
        </w:tc>
        <w:tc>
          <w:tcPr>
            <w:tcW w:w="2097" w:type="dxa"/>
          </w:tcPr>
          <w:p w14:paraId="4290B0E3" w14:textId="77777777" w:rsidR="00C157DE" w:rsidRPr="00C157DE" w:rsidRDefault="00C157DE" w:rsidP="00F45B45">
            <w:r w:rsidRPr="00C157DE">
              <w:t>-</w:t>
            </w:r>
          </w:p>
        </w:tc>
      </w:tr>
      <w:tr w:rsidR="00C157DE" w:rsidRPr="00C157DE" w14:paraId="3B949C17" w14:textId="77777777" w:rsidTr="00C157DE">
        <w:tc>
          <w:tcPr>
            <w:tcW w:w="6091" w:type="dxa"/>
          </w:tcPr>
          <w:p w14:paraId="54A90300" w14:textId="77777777" w:rsidR="00C157DE" w:rsidRPr="000D5CB8" w:rsidRDefault="00C157DE" w:rsidP="00F45B45">
            <w:pPr>
              <w:rPr>
                <w:b/>
                <w:bCs/>
              </w:rPr>
            </w:pPr>
            <w:r w:rsidRPr="000D5CB8">
              <w:rPr>
                <w:b/>
                <w:bCs/>
              </w:rPr>
              <w:t>New cash (outflow) from investing activities</w:t>
            </w:r>
          </w:p>
        </w:tc>
        <w:tc>
          <w:tcPr>
            <w:tcW w:w="2268" w:type="dxa"/>
          </w:tcPr>
          <w:p w14:paraId="72E4F568" w14:textId="77777777" w:rsidR="00C157DE" w:rsidRPr="000D5CB8" w:rsidRDefault="00C157DE" w:rsidP="00F45B45">
            <w:pPr>
              <w:rPr>
                <w:b/>
                <w:bCs/>
              </w:rPr>
            </w:pPr>
            <w:r w:rsidRPr="000D5CB8">
              <w:rPr>
                <w:b/>
                <w:bCs/>
              </w:rPr>
              <w:t>(29,893)</w:t>
            </w:r>
          </w:p>
        </w:tc>
        <w:tc>
          <w:tcPr>
            <w:tcW w:w="2097" w:type="dxa"/>
          </w:tcPr>
          <w:p w14:paraId="54A791E3" w14:textId="77777777" w:rsidR="00C157DE" w:rsidRPr="000D5CB8" w:rsidRDefault="00C157DE" w:rsidP="00F45B45">
            <w:pPr>
              <w:rPr>
                <w:b/>
                <w:bCs/>
              </w:rPr>
            </w:pPr>
            <w:r w:rsidRPr="000D5CB8">
              <w:rPr>
                <w:b/>
                <w:bCs/>
              </w:rPr>
              <w:t>(14,848)</w:t>
            </w:r>
          </w:p>
        </w:tc>
      </w:tr>
      <w:tr w:rsidR="00C157DE" w:rsidRPr="00C157DE" w14:paraId="3622DE09" w14:textId="77777777" w:rsidTr="00C157DE">
        <w:tc>
          <w:tcPr>
            <w:tcW w:w="6091" w:type="dxa"/>
          </w:tcPr>
          <w:p w14:paraId="4F34E40A" w14:textId="77777777" w:rsidR="00C157DE" w:rsidRPr="000D5CB8" w:rsidRDefault="00C157DE" w:rsidP="00F45B45">
            <w:pPr>
              <w:rPr>
                <w:b/>
                <w:bCs/>
              </w:rPr>
            </w:pPr>
            <w:r w:rsidRPr="000D5CB8">
              <w:rPr>
                <w:b/>
                <w:bCs/>
              </w:rPr>
              <w:t>Net increase in cash and cash equivalents</w:t>
            </w:r>
          </w:p>
        </w:tc>
        <w:tc>
          <w:tcPr>
            <w:tcW w:w="2268" w:type="dxa"/>
          </w:tcPr>
          <w:p w14:paraId="3B1D2AA0" w14:textId="77777777" w:rsidR="00C157DE" w:rsidRPr="000D5CB8" w:rsidRDefault="00C157DE" w:rsidP="00F45B45">
            <w:pPr>
              <w:rPr>
                <w:b/>
                <w:bCs/>
              </w:rPr>
            </w:pPr>
            <w:r w:rsidRPr="000D5CB8">
              <w:rPr>
                <w:b/>
                <w:bCs/>
              </w:rPr>
              <w:t>(59,872)</w:t>
            </w:r>
          </w:p>
        </w:tc>
        <w:tc>
          <w:tcPr>
            <w:tcW w:w="2097" w:type="dxa"/>
          </w:tcPr>
          <w:p w14:paraId="68F9118B" w14:textId="77777777" w:rsidR="00C157DE" w:rsidRPr="000D5CB8" w:rsidRDefault="00C157DE" w:rsidP="00F45B45">
            <w:pPr>
              <w:rPr>
                <w:b/>
                <w:bCs/>
              </w:rPr>
            </w:pPr>
            <w:r w:rsidRPr="000D5CB8">
              <w:rPr>
                <w:b/>
                <w:bCs/>
              </w:rPr>
              <w:t>270,977</w:t>
            </w:r>
          </w:p>
        </w:tc>
      </w:tr>
      <w:tr w:rsidR="00C157DE" w:rsidRPr="00C157DE" w14:paraId="6D6A2310" w14:textId="77777777" w:rsidTr="00C157DE">
        <w:tc>
          <w:tcPr>
            <w:tcW w:w="6091" w:type="dxa"/>
          </w:tcPr>
          <w:p w14:paraId="72ACBF41" w14:textId="77777777" w:rsidR="00C157DE" w:rsidRPr="00C157DE" w:rsidRDefault="00C157DE" w:rsidP="00F45B45">
            <w:r w:rsidRPr="00C157DE">
              <w:t>Cash and cash equivalents at the beginning of financial year</w:t>
            </w:r>
          </w:p>
        </w:tc>
        <w:tc>
          <w:tcPr>
            <w:tcW w:w="2268" w:type="dxa"/>
          </w:tcPr>
          <w:p w14:paraId="68322576" w14:textId="77777777" w:rsidR="00C157DE" w:rsidRPr="00C157DE" w:rsidRDefault="00C157DE" w:rsidP="00F45B45">
            <w:r w:rsidRPr="00C157DE">
              <w:t>953,858</w:t>
            </w:r>
          </w:p>
        </w:tc>
        <w:tc>
          <w:tcPr>
            <w:tcW w:w="2097" w:type="dxa"/>
          </w:tcPr>
          <w:p w14:paraId="66D3FBA7" w14:textId="77777777" w:rsidR="00C157DE" w:rsidRPr="00C157DE" w:rsidRDefault="00C157DE" w:rsidP="00F45B45">
            <w:r w:rsidRPr="00C157DE">
              <w:t>682,881</w:t>
            </w:r>
          </w:p>
        </w:tc>
      </w:tr>
      <w:tr w:rsidR="00C157DE" w:rsidRPr="00C157DE" w14:paraId="31AA4308" w14:textId="77777777" w:rsidTr="00C157DE">
        <w:tc>
          <w:tcPr>
            <w:tcW w:w="6091" w:type="dxa"/>
          </w:tcPr>
          <w:p w14:paraId="1BCFFE26" w14:textId="77777777" w:rsidR="00C157DE" w:rsidRPr="000D5CB8" w:rsidRDefault="00C157DE" w:rsidP="00F45B45">
            <w:pPr>
              <w:rPr>
                <w:b/>
                <w:bCs/>
              </w:rPr>
            </w:pPr>
            <w:r w:rsidRPr="000D5CB8">
              <w:rPr>
                <w:b/>
                <w:bCs/>
              </w:rPr>
              <w:t>Cash and cash equivalents at the end of financial year</w:t>
            </w:r>
          </w:p>
        </w:tc>
        <w:tc>
          <w:tcPr>
            <w:tcW w:w="2268" w:type="dxa"/>
          </w:tcPr>
          <w:p w14:paraId="1555A97C" w14:textId="77777777" w:rsidR="00C157DE" w:rsidRPr="000D5CB8" w:rsidRDefault="00C157DE" w:rsidP="00F45B45">
            <w:pPr>
              <w:rPr>
                <w:b/>
                <w:bCs/>
              </w:rPr>
            </w:pPr>
            <w:r w:rsidRPr="000D5CB8">
              <w:rPr>
                <w:b/>
                <w:bCs/>
              </w:rPr>
              <w:t>893,986</w:t>
            </w:r>
          </w:p>
        </w:tc>
        <w:tc>
          <w:tcPr>
            <w:tcW w:w="2097" w:type="dxa"/>
          </w:tcPr>
          <w:p w14:paraId="1253BDEF" w14:textId="77777777" w:rsidR="00C157DE" w:rsidRPr="000D5CB8" w:rsidRDefault="00C157DE" w:rsidP="00F45B45">
            <w:pPr>
              <w:rPr>
                <w:b/>
                <w:bCs/>
              </w:rPr>
            </w:pPr>
            <w:r w:rsidRPr="000D5CB8">
              <w:rPr>
                <w:b/>
                <w:bCs/>
              </w:rPr>
              <w:t>953,858</w:t>
            </w:r>
          </w:p>
        </w:tc>
      </w:tr>
    </w:tbl>
    <w:p w14:paraId="49488BBC" w14:textId="4C116C0B" w:rsidR="00CE5669" w:rsidRDefault="00BE26EB" w:rsidP="00BE26EB">
      <w:r>
        <w:t xml:space="preserve"> </w:t>
      </w:r>
      <w:r w:rsidR="00CE5669">
        <w:br w:type="page"/>
      </w:r>
    </w:p>
    <w:p w14:paraId="380D74E3" w14:textId="77777777" w:rsidR="00CE5669" w:rsidRPr="00CE5669" w:rsidRDefault="00CE5669" w:rsidP="001C0EE6">
      <w:pPr>
        <w:pStyle w:val="Heading1"/>
      </w:pPr>
      <w:r w:rsidRPr="00CE5669">
        <w:lastRenderedPageBreak/>
        <w:t>CONTACT US</w:t>
      </w:r>
    </w:p>
    <w:p w14:paraId="3E01DDC1" w14:textId="77777777" w:rsidR="00F95EA8" w:rsidRPr="00F95EA8" w:rsidRDefault="00F95EA8" w:rsidP="00F95EA8">
      <w:pPr>
        <w:pStyle w:val="Heading2"/>
      </w:pPr>
      <w:r w:rsidRPr="00F95EA8">
        <w:t>Telephone</w:t>
      </w:r>
    </w:p>
    <w:p w14:paraId="68A50A61" w14:textId="77777777" w:rsidR="00F95EA8" w:rsidRPr="00F95EA8" w:rsidRDefault="004A2ABF" w:rsidP="00F95EA8">
      <w:hyperlink r:id="rId9" w:history="1">
        <w:r w:rsidR="00F95EA8" w:rsidRPr="00F95EA8">
          <w:rPr>
            <w:rStyle w:val="Hyperlink"/>
          </w:rPr>
          <w:t>1800 466 865</w:t>
        </w:r>
      </w:hyperlink>
      <w:r w:rsidR="00F95EA8" w:rsidRPr="00F95EA8">
        <w:t>*</w:t>
      </w:r>
    </w:p>
    <w:p w14:paraId="1E8C2034" w14:textId="77777777" w:rsidR="00F95EA8" w:rsidRPr="00F95EA8" w:rsidRDefault="00F95EA8" w:rsidP="00F95EA8">
      <w:pPr>
        <w:rPr>
          <w:i/>
          <w:iCs/>
        </w:rPr>
      </w:pPr>
      <w:r w:rsidRPr="00F95EA8">
        <w:rPr>
          <w:i/>
          <w:iCs/>
        </w:rPr>
        <w:t>* Free from landlines, standard rates apply for calls from mobiles. If you call from a mobile you can ask us to call you back.</w:t>
      </w:r>
    </w:p>
    <w:p w14:paraId="00BC3320" w14:textId="77777777" w:rsidR="00F95EA8" w:rsidRPr="00F95EA8" w:rsidRDefault="00F95EA8" w:rsidP="00F95EA8">
      <w:pPr>
        <w:pStyle w:val="Heading3"/>
      </w:pPr>
      <w:r w:rsidRPr="00F95EA8">
        <w:t>Administration</w:t>
      </w:r>
    </w:p>
    <w:p w14:paraId="4F0209FF" w14:textId="77777777" w:rsidR="00F95EA8" w:rsidRPr="00F95EA8" w:rsidRDefault="004A2ABF" w:rsidP="00F95EA8">
      <w:hyperlink r:id="rId10" w:history="1">
        <w:r w:rsidR="00F95EA8" w:rsidRPr="00F95EA8">
          <w:rPr>
            <w:rStyle w:val="Hyperlink"/>
          </w:rPr>
          <w:t>(03) 8623 2111</w:t>
        </w:r>
      </w:hyperlink>
    </w:p>
    <w:p w14:paraId="1C465E65" w14:textId="77777777" w:rsidR="00F95EA8" w:rsidRPr="00F95EA8" w:rsidRDefault="00F95EA8" w:rsidP="00F95EA8">
      <w:pPr>
        <w:pStyle w:val="Heading3"/>
      </w:pPr>
      <w:r w:rsidRPr="00F95EA8">
        <w:t>Fax</w:t>
      </w:r>
    </w:p>
    <w:p w14:paraId="52A01711" w14:textId="77777777" w:rsidR="00F95EA8" w:rsidRPr="00F95EA8" w:rsidRDefault="004A2ABF" w:rsidP="00F95EA8">
      <w:hyperlink r:id="rId11" w:history="1">
        <w:r w:rsidR="00F95EA8" w:rsidRPr="00F95EA8">
          <w:rPr>
            <w:rStyle w:val="Hyperlink"/>
          </w:rPr>
          <w:t>(03) 8623 2100</w:t>
        </w:r>
      </w:hyperlink>
    </w:p>
    <w:p w14:paraId="62A1C0DD" w14:textId="77777777" w:rsidR="00F95EA8" w:rsidRPr="00F95EA8" w:rsidRDefault="00F95EA8" w:rsidP="00F95EA8">
      <w:pPr>
        <w:pStyle w:val="Heading2"/>
      </w:pPr>
      <w:r w:rsidRPr="00F95EA8">
        <w:t>If you are deaf, or have a hearing or speech impairment you can contact us by:</w:t>
      </w:r>
    </w:p>
    <w:p w14:paraId="7270C862" w14:textId="77777777" w:rsidR="00F95EA8" w:rsidRPr="00F95EA8" w:rsidRDefault="00F95EA8" w:rsidP="00F95EA8">
      <w:pPr>
        <w:pStyle w:val="Heading3"/>
      </w:pPr>
      <w:r w:rsidRPr="00F95EA8">
        <w:t>National Relay Service (NRS)</w:t>
      </w:r>
    </w:p>
    <w:p w14:paraId="6BC4393B" w14:textId="77777777" w:rsidR="00F95EA8" w:rsidRPr="00F95EA8" w:rsidRDefault="00F95EA8" w:rsidP="009835A8">
      <w:pPr>
        <w:pStyle w:val="ListParagraph"/>
        <w:numPr>
          <w:ilvl w:val="0"/>
          <w:numId w:val="33"/>
        </w:numPr>
      </w:pPr>
      <w:r w:rsidRPr="00F95EA8">
        <w:t>Contacting the </w:t>
      </w:r>
      <w:hyperlink r:id="rId12" w:tgtFrame="_blank" w:history="1">
        <w:r w:rsidRPr="00F95EA8">
          <w:rPr>
            <w:rStyle w:val="Hyperlink"/>
          </w:rPr>
          <w:t>National Relay Service</w:t>
        </w:r>
      </w:hyperlink>
      <w:r w:rsidRPr="00F95EA8">
        <w:t> </w:t>
      </w:r>
    </w:p>
    <w:p w14:paraId="61D48059" w14:textId="77777777" w:rsidR="00F95EA8" w:rsidRPr="00F95EA8" w:rsidRDefault="00F95EA8" w:rsidP="009835A8">
      <w:pPr>
        <w:pStyle w:val="ListParagraph"/>
        <w:numPr>
          <w:ilvl w:val="0"/>
          <w:numId w:val="33"/>
        </w:numPr>
      </w:pPr>
      <w:r w:rsidRPr="00F95EA8">
        <w:t>Providing the NRS with the Public Transport Ombudsman number (1800 466 865).</w:t>
      </w:r>
    </w:p>
    <w:p w14:paraId="304CB02C" w14:textId="77777777" w:rsidR="00F95EA8" w:rsidRPr="00F95EA8" w:rsidRDefault="00F95EA8" w:rsidP="00F95EA8">
      <w:pPr>
        <w:pStyle w:val="Heading2"/>
      </w:pPr>
      <w:r w:rsidRPr="00F95EA8">
        <w:t xml:space="preserve">If you speak a language other than </w:t>
      </w:r>
      <w:proofErr w:type="gramStart"/>
      <w:r w:rsidRPr="00F95EA8">
        <w:t>English</w:t>
      </w:r>
      <w:proofErr w:type="gramEnd"/>
      <w:r w:rsidRPr="00F95EA8">
        <w:t xml:space="preserve"> you can contact us by:</w:t>
      </w:r>
    </w:p>
    <w:p w14:paraId="090F59A9" w14:textId="77777777" w:rsidR="00F95EA8" w:rsidRPr="00F95EA8" w:rsidRDefault="00F95EA8" w:rsidP="00F95EA8">
      <w:pPr>
        <w:pStyle w:val="Heading3"/>
      </w:pPr>
      <w:r w:rsidRPr="00F95EA8">
        <w:t>Translating and Interpreting Service (TIS)</w:t>
      </w:r>
    </w:p>
    <w:p w14:paraId="2CEF5B6C" w14:textId="77777777" w:rsidR="00F95EA8" w:rsidRPr="00F95EA8" w:rsidRDefault="00F95EA8" w:rsidP="009835A8">
      <w:pPr>
        <w:pStyle w:val="ListParagraph"/>
        <w:numPr>
          <w:ilvl w:val="0"/>
          <w:numId w:val="34"/>
        </w:numPr>
      </w:pPr>
      <w:r w:rsidRPr="00F95EA8">
        <w:t>Information about TIS can be found </w:t>
      </w:r>
      <w:hyperlink r:id="rId13" w:history="1">
        <w:r w:rsidRPr="00F95EA8">
          <w:rPr>
            <w:rStyle w:val="Hyperlink"/>
          </w:rPr>
          <w:t>here</w:t>
        </w:r>
      </w:hyperlink>
      <w:r w:rsidRPr="00F95EA8">
        <w:t>. </w:t>
      </w:r>
    </w:p>
    <w:p w14:paraId="75930C75" w14:textId="77777777" w:rsidR="00F95EA8" w:rsidRPr="00F95EA8" w:rsidRDefault="004A2ABF" w:rsidP="009835A8">
      <w:pPr>
        <w:pStyle w:val="ListParagraph"/>
        <w:numPr>
          <w:ilvl w:val="0"/>
          <w:numId w:val="34"/>
        </w:numPr>
      </w:pPr>
      <w:hyperlink r:id="rId14" w:history="1">
        <w:r w:rsidR="00F95EA8" w:rsidRPr="00F95EA8">
          <w:rPr>
            <w:rStyle w:val="Hyperlink"/>
          </w:rPr>
          <w:t>131 450</w:t>
        </w:r>
      </w:hyperlink>
    </w:p>
    <w:p w14:paraId="2551D69F" w14:textId="77777777" w:rsidR="00F95EA8" w:rsidRPr="00F95EA8" w:rsidRDefault="004A2ABF" w:rsidP="00F95EA8">
      <w:r>
        <w:rPr>
          <w:noProof/>
        </w:rPr>
        <w:pict w14:anchorId="51F83674">
          <v:rect id="_x0000_i1029" alt="" style="width:523.3pt;height:.05pt;mso-width-percent:0;mso-height-percent:0;mso-width-percent:0;mso-height-percent:0" o:hralign="center" o:hrstd="t" o:hr="t" fillcolor="#a0a0a0" stroked="f"/>
        </w:pict>
      </w:r>
    </w:p>
    <w:p w14:paraId="4FA35DD0" w14:textId="77777777" w:rsidR="00F95EA8" w:rsidRPr="00F95EA8" w:rsidRDefault="00F95EA8" w:rsidP="00F95EA8">
      <w:pPr>
        <w:pStyle w:val="Heading2"/>
      </w:pPr>
      <w:r w:rsidRPr="00F95EA8">
        <w:t>Complaint form</w:t>
      </w:r>
    </w:p>
    <w:p w14:paraId="4952DC6A" w14:textId="77777777" w:rsidR="00F95EA8" w:rsidRPr="00F95EA8" w:rsidRDefault="00F95EA8" w:rsidP="00F95EA8">
      <w:r w:rsidRPr="00F95EA8">
        <w:t>Click </w:t>
      </w:r>
      <w:hyperlink r:id="rId15" w:history="1">
        <w:r w:rsidRPr="00F95EA8">
          <w:rPr>
            <w:rStyle w:val="Hyperlink"/>
          </w:rPr>
          <w:t>here</w:t>
        </w:r>
      </w:hyperlink>
      <w:r w:rsidRPr="00F95EA8">
        <w:t> to submit a complaint via our online complaint form.</w:t>
      </w:r>
    </w:p>
    <w:p w14:paraId="0ADE9EE9" w14:textId="77777777" w:rsidR="00F95EA8" w:rsidRPr="00F95EA8" w:rsidRDefault="004A2ABF" w:rsidP="00F95EA8">
      <w:r>
        <w:rPr>
          <w:noProof/>
        </w:rPr>
        <w:pict w14:anchorId="5DC43412">
          <v:rect id="_x0000_i1028" alt="" style="width:523.3pt;height:.05pt;mso-width-percent:0;mso-height-percent:0;mso-width-percent:0;mso-height-percent:0" o:hralign="center" o:hrstd="t" o:hr="t" fillcolor="#a0a0a0" stroked="f"/>
        </w:pict>
      </w:r>
    </w:p>
    <w:p w14:paraId="1983004D" w14:textId="77777777" w:rsidR="00F95EA8" w:rsidRPr="00F95EA8" w:rsidRDefault="00F95EA8" w:rsidP="00F95EA8">
      <w:pPr>
        <w:pStyle w:val="Heading2"/>
      </w:pPr>
      <w:r w:rsidRPr="00F95EA8">
        <w:t>Email</w:t>
      </w:r>
    </w:p>
    <w:p w14:paraId="51AF5187" w14:textId="77777777" w:rsidR="00F95EA8" w:rsidRPr="00F95EA8" w:rsidRDefault="004A2ABF" w:rsidP="00F95EA8">
      <w:hyperlink r:id="rId16" w:history="1">
        <w:r w:rsidR="00F95EA8" w:rsidRPr="00F95EA8">
          <w:rPr>
            <w:rStyle w:val="Hyperlink"/>
          </w:rPr>
          <w:t>enquiries@ptovic.com.au</w:t>
        </w:r>
      </w:hyperlink>
    </w:p>
    <w:p w14:paraId="4DD793CA" w14:textId="77777777" w:rsidR="00F95EA8" w:rsidRPr="00F95EA8" w:rsidRDefault="00F95EA8" w:rsidP="00F95EA8">
      <w:pPr>
        <w:rPr>
          <w:i/>
          <w:iCs/>
        </w:rPr>
      </w:pPr>
      <w:r w:rsidRPr="00F95EA8">
        <w:rPr>
          <w:i/>
          <w:iCs/>
        </w:rPr>
        <w:t>* Emails received outside of PTO business hours are addressed the next business day and you should hear back from us within three business days.</w:t>
      </w:r>
    </w:p>
    <w:p w14:paraId="624D8DDD" w14:textId="77777777" w:rsidR="00F95EA8" w:rsidRPr="00F95EA8" w:rsidRDefault="004A2ABF" w:rsidP="00F95EA8">
      <w:r>
        <w:rPr>
          <w:noProof/>
        </w:rPr>
        <w:pict w14:anchorId="07844177">
          <v:rect id="_x0000_i1027" alt="" style="width:523.3pt;height:.05pt;mso-width-percent:0;mso-height-percent:0;mso-width-percent:0;mso-height-percent:0" o:hralign="center" o:hrstd="t" o:hr="t" fillcolor="#a0a0a0" stroked="f"/>
        </w:pict>
      </w:r>
    </w:p>
    <w:p w14:paraId="54483D30" w14:textId="77777777" w:rsidR="00F95EA8" w:rsidRPr="00F95EA8" w:rsidRDefault="00F95EA8" w:rsidP="00F95EA8">
      <w:pPr>
        <w:pStyle w:val="Heading2"/>
      </w:pPr>
      <w:r w:rsidRPr="00F95EA8">
        <w:t>Mail address</w:t>
      </w:r>
    </w:p>
    <w:p w14:paraId="72603579" w14:textId="77777777" w:rsidR="00F95EA8" w:rsidRPr="00F95EA8" w:rsidRDefault="00F95EA8" w:rsidP="00F95EA8">
      <w:r w:rsidRPr="00F95EA8">
        <w:t>Public Transport Ombudsman</w:t>
      </w:r>
      <w:r w:rsidRPr="00F95EA8">
        <w:br/>
        <w:t>PO Box 538</w:t>
      </w:r>
      <w:r w:rsidRPr="00F95EA8">
        <w:br/>
      </w:r>
      <w:r w:rsidRPr="00F95EA8">
        <w:lastRenderedPageBreak/>
        <w:t>Collins Street West</w:t>
      </w:r>
      <w:r w:rsidRPr="00F95EA8">
        <w:br/>
        <w:t>MELBOURNE VIC 8007</w:t>
      </w:r>
    </w:p>
    <w:p w14:paraId="6FF05765" w14:textId="77777777" w:rsidR="00F95EA8" w:rsidRPr="00F95EA8" w:rsidRDefault="004A2ABF" w:rsidP="00F95EA8">
      <w:r>
        <w:rPr>
          <w:noProof/>
        </w:rPr>
        <w:pict w14:anchorId="608E82A6">
          <v:rect id="_x0000_i1026" alt="" style="width:523.3pt;height:.05pt;mso-width-percent:0;mso-height-percent:0;mso-width-percent:0;mso-height-percent:0" o:hralign="center" o:hrstd="t" o:hr="t" fillcolor="#a0a0a0" stroked="f"/>
        </w:pict>
      </w:r>
    </w:p>
    <w:p w14:paraId="7255A205" w14:textId="77777777" w:rsidR="00F95EA8" w:rsidRPr="00F95EA8" w:rsidRDefault="00F95EA8" w:rsidP="00F95EA8">
      <w:pPr>
        <w:pStyle w:val="Heading2"/>
      </w:pPr>
      <w:r w:rsidRPr="00F95EA8">
        <w:t>Facebook</w:t>
      </w:r>
    </w:p>
    <w:p w14:paraId="5A357C0C" w14:textId="77777777" w:rsidR="00F95EA8" w:rsidRPr="00F95EA8" w:rsidRDefault="004A2ABF" w:rsidP="00F95EA8">
      <w:hyperlink r:id="rId17" w:tgtFrame="_blank" w:history="1">
        <w:r w:rsidR="00F95EA8" w:rsidRPr="00F95EA8">
          <w:rPr>
            <w:rStyle w:val="Hyperlink"/>
          </w:rPr>
          <w:t>facebook.com/</w:t>
        </w:r>
        <w:proofErr w:type="spellStart"/>
        <w:r w:rsidR="00F95EA8" w:rsidRPr="00F95EA8">
          <w:rPr>
            <w:rStyle w:val="Hyperlink"/>
          </w:rPr>
          <w:t>PublicTransportOmbudsman</w:t>
        </w:r>
        <w:proofErr w:type="spellEnd"/>
        <w:r w:rsidR="00F95EA8" w:rsidRPr="00F95EA8">
          <w:rPr>
            <w:rStyle w:val="Hyperlink"/>
          </w:rPr>
          <w:t>/</w:t>
        </w:r>
      </w:hyperlink>
    </w:p>
    <w:p w14:paraId="50E4B74B" w14:textId="77777777" w:rsidR="00F95EA8" w:rsidRPr="00F95EA8" w:rsidRDefault="004A2ABF" w:rsidP="00F95EA8">
      <w:r>
        <w:rPr>
          <w:noProof/>
        </w:rPr>
        <w:pict w14:anchorId="2025845A">
          <v:rect id="_x0000_i1025" alt="" style="width:523.3pt;height:.05pt;mso-width-percent:0;mso-height-percent:0;mso-width-percent:0;mso-height-percent:0" o:hralign="center" o:hrstd="t" o:hr="t" fillcolor="#a0a0a0" stroked="f"/>
        </w:pict>
      </w:r>
    </w:p>
    <w:p w14:paraId="71589767" w14:textId="77777777" w:rsidR="00F95EA8" w:rsidRPr="00F95EA8" w:rsidRDefault="00F95EA8" w:rsidP="00F95EA8">
      <w:pPr>
        <w:pStyle w:val="Heading2"/>
      </w:pPr>
      <w:r w:rsidRPr="00F95EA8">
        <w:t>Hours of operation</w:t>
      </w:r>
    </w:p>
    <w:p w14:paraId="6EB53E7B" w14:textId="77777777" w:rsidR="00F95EA8" w:rsidRPr="00F95EA8" w:rsidRDefault="00F95EA8" w:rsidP="00F95EA8">
      <w:r w:rsidRPr="00F95EA8">
        <w:t>9.00 am to 5.00 pm</w:t>
      </w:r>
      <w:r w:rsidRPr="00F95EA8">
        <w:br/>
        <w:t>Monday to Friday </w:t>
      </w:r>
    </w:p>
    <w:p w14:paraId="3A2ADC76" w14:textId="77777777" w:rsidR="00F95EA8" w:rsidRDefault="00F95EA8" w:rsidP="00F95EA8">
      <w:pPr>
        <w:rPr>
          <w:rFonts w:ascii="Times New Roman" w:hAnsi="Times New Roman"/>
        </w:rPr>
      </w:pPr>
    </w:p>
    <w:p w14:paraId="23B0E89E" w14:textId="77777777" w:rsidR="00FF7819" w:rsidRPr="00A138D9" w:rsidRDefault="00FF7819" w:rsidP="005F35B0"/>
    <w:sectPr w:rsidR="00FF7819" w:rsidRPr="00A138D9" w:rsidSect="00FE3E8A">
      <w:footerReference w:type="even" r:id="rId18"/>
      <w:footerReference w:type="default" r:id="rId19"/>
      <w:pgSz w:w="11906" w:h="16838"/>
      <w:pgMar w:top="-444"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85102" w14:textId="77777777" w:rsidR="004A2ABF" w:rsidRDefault="004A2ABF" w:rsidP="005F35B0">
      <w:r>
        <w:separator/>
      </w:r>
    </w:p>
    <w:p w14:paraId="7A186DA6" w14:textId="77777777" w:rsidR="004A2ABF" w:rsidRDefault="004A2ABF" w:rsidP="005F35B0"/>
  </w:endnote>
  <w:endnote w:type="continuationSeparator" w:id="0">
    <w:p w14:paraId="513C1137" w14:textId="77777777" w:rsidR="004A2ABF" w:rsidRDefault="004A2ABF" w:rsidP="005F35B0">
      <w:r>
        <w:continuationSeparator/>
      </w:r>
    </w:p>
    <w:p w14:paraId="086D49D8" w14:textId="77777777" w:rsidR="004A2ABF" w:rsidRDefault="004A2ABF" w:rsidP="005F35B0"/>
  </w:endnote>
  <w:endnote w:type="continuationNotice" w:id="1">
    <w:p w14:paraId="6E8A566E" w14:textId="77777777" w:rsidR="004A2ABF" w:rsidRDefault="004A2ABF" w:rsidP="005F35B0"/>
    <w:p w14:paraId="4C22A149" w14:textId="77777777" w:rsidR="004A2ABF" w:rsidRDefault="004A2ABF" w:rsidP="005F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AFF" w:usb1="5000217F" w:usb2="00000021" w:usb3="00000000" w:csb0="0000019F" w:csb1="00000000"/>
  </w:font>
  <w:font w:name="Titillium">
    <w:panose1 w:val="000005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PTCIWX+RobotoCondensed-Regular">
    <w:altName w:val="Arial"/>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182620"/>
      <w:docPartObj>
        <w:docPartGallery w:val="Page Numbers (Bottom of Page)"/>
        <w:docPartUnique/>
      </w:docPartObj>
    </w:sdtPr>
    <w:sdtEndPr>
      <w:rPr>
        <w:rStyle w:val="PageNumber"/>
      </w:rPr>
    </w:sdtEndPr>
    <w:sdtContent>
      <w:p w14:paraId="0982743C" w14:textId="7EC27F6A" w:rsidR="00F45B45" w:rsidRDefault="00F45B45" w:rsidP="005F35B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713E2" w14:textId="77777777" w:rsidR="00F45B45" w:rsidRDefault="00F45B45" w:rsidP="005F35B0">
    <w:pPr>
      <w:pStyle w:val="Footer"/>
    </w:pPr>
  </w:p>
  <w:p w14:paraId="3FCD7D85" w14:textId="77777777" w:rsidR="00F45B45" w:rsidRDefault="00F45B45" w:rsidP="005F3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525553"/>
      <w:docPartObj>
        <w:docPartGallery w:val="Page Numbers (Bottom of Page)"/>
        <w:docPartUnique/>
      </w:docPartObj>
    </w:sdtPr>
    <w:sdtEndPr>
      <w:rPr>
        <w:rStyle w:val="PageNumber"/>
      </w:rPr>
    </w:sdtEndPr>
    <w:sdtContent>
      <w:p w14:paraId="782DB9F6" w14:textId="5F19455F" w:rsidR="00F45B45" w:rsidRDefault="00F45B45" w:rsidP="00FE3E8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EB26" w14:textId="77777777" w:rsidR="004A2ABF" w:rsidRDefault="004A2ABF" w:rsidP="005F35B0">
      <w:r>
        <w:separator/>
      </w:r>
    </w:p>
    <w:p w14:paraId="2CCAD597" w14:textId="77777777" w:rsidR="004A2ABF" w:rsidRDefault="004A2ABF" w:rsidP="005F35B0"/>
  </w:footnote>
  <w:footnote w:type="continuationSeparator" w:id="0">
    <w:p w14:paraId="0F335E27" w14:textId="77777777" w:rsidR="004A2ABF" w:rsidRDefault="004A2ABF" w:rsidP="005F35B0">
      <w:r>
        <w:continuationSeparator/>
      </w:r>
    </w:p>
    <w:p w14:paraId="40AFAFD9" w14:textId="77777777" w:rsidR="004A2ABF" w:rsidRDefault="004A2ABF" w:rsidP="005F35B0"/>
  </w:footnote>
  <w:footnote w:type="continuationNotice" w:id="1">
    <w:p w14:paraId="426EEB0D" w14:textId="77777777" w:rsidR="004A2ABF" w:rsidRDefault="004A2ABF" w:rsidP="005F35B0"/>
    <w:p w14:paraId="343C16F5" w14:textId="77777777" w:rsidR="004A2ABF" w:rsidRDefault="004A2ABF" w:rsidP="005F3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AE4"/>
    <w:multiLevelType w:val="hybridMultilevel"/>
    <w:tmpl w:val="169CD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167FF"/>
    <w:multiLevelType w:val="hybridMultilevel"/>
    <w:tmpl w:val="D4B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A5E"/>
    <w:multiLevelType w:val="hybridMultilevel"/>
    <w:tmpl w:val="805A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3743F"/>
    <w:multiLevelType w:val="hybridMultilevel"/>
    <w:tmpl w:val="EC20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D2A27"/>
    <w:multiLevelType w:val="hybridMultilevel"/>
    <w:tmpl w:val="8DB2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660B2"/>
    <w:multiLevelType w:val="hybridMultilevel"/>
    <w:tmpl w:val="A9EA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66F37"/>
    <w:multiLevelType w:val="hybridMultilevel"/>
    <w:tmpl w:val="D24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866CA"/>
    <w:multiLevelType w:val="hybridMultilevel"/>
    <w:tmpl w:val="5CCC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A7098"/>
    <w:multiLevelType w:val="hybridMultilevel"/>
    <w:tmpl w:val="924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5B39"/>
    <w:multiLevelType w:val="hybridMultilevel"/>
    <w:tmpl w:val="E114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65D2A"/>
    <w:multiLevelType w:val="hybridMultilevel"/>
    <w:tmpl w:val="98B0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45266"/>
    <w:multiLevelType w:val="hybridMultilevel"/>
    <w:tmpl w:val="A43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443E5"/>
    <w:multiLevelType w:val="hybridMultilevel"/>
    <w:tmpl w:val="C5DA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D0C25"/>
    <w:multiLevelType w:val="hybridMultilevel"/>
    <w:tmpl w:val="30C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E7835"/>
    <w:multiLevelType w:val="hybridMultilevel"/>
    <w:tmpl w:val="BBB0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00E32"/>
    <w:multiLevelType w:val="hybridMultilevel"/>
    <w:tmpl w:val="870C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A0B18"/>
    <w:multiLevelType w:val="hybridMultilevel"/>
    <w:tmpl w:val="A77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52D52"/>
    <w:multiLevelType w:val="hybridMultilevel"/>
    <w:tmpl w:val="BDE2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1436A"/>
    <w:multiLevelType w:val="hybridMultilevel"/>
    <w:tmpl w:val="1BA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65A52"/>
    <w:multiLevelType w:val="hybridMultilevel"/>
    <w:tmpl w:val="A16A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64315"/>
    <w:multiLevelType w:val="hybridMultilevel"/>
    <w:tmpl w:val="E5D0E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42735A"/>
    <w:multiLevelType w:val="hybridMultilevel"/>
    <w:tmpl w:val="06D4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53035"/>
    <w:multiLevelType w:val="hybridMultilevel"/>
    <w:tmpl w:val="5288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A4638"/>
    <w:multiLevelType w:val="hybridMultilevel"/>
    <w:tmpl w:val="0B3E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4CFE"/>
    <w:multiLevelType w:val="hybridMultilevel"/>
    <w:tmpl w:val="EDFC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F4625"/>
    <w:multiLevelType w:val="hybridMultilevel"/>
    <w:tmpl w:val="895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308F6"/>
    <w:multiLevelType w:val="hybridMultilevel"/>
    <w:tmpl w:val="D134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E2290"/>
    <w:multiLevelType w:val="hybridMultilevel"/>
    <w:tmpl w:val="618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9057D"/>
    <w:multiLevelType w:val="hybridMultilevel"/>
    <w:tmpl w:val="587E5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643A0A"/>
    <w:multiLevelType w:val="hybridMultilevel"/>
    <w:tmpl w:val="B410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47E03"/>
    <w:multiLevelType w:val="hybridMultilevel"/>
    <w:tmpl w:val="1F86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6643B"/>
    <w:multiLevelType w:val="hybridMultilevel"/>
    <w:tmpl w:val="4D20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8638D"/>
    <w:multiLevelType w:val="hybridMultilevel"/>
    <w:tmpl w:val="AE8E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61A39"/>
    <w:multiLevelType w:val="hybridMultilevel"/>
    <w:tmpl w:val="63F8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E37DC"/>
    <w:multiLevelType w:val="hybridMultilevel"/>
    <w:tmpl w:val="69EA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CB0"/>
    <w:multiLevelType w:val="hybridMultilevel"/>
    <w:tmpl w:val="C558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18"/>
  </w:num>
  <w:num w:numId="5">
    <w:abstractNumId w:val="6"/>
  </w:num>
  <w:num w:numId="6">
    <w:abstractNumId w:val="29"/>
  </w:num>
  <w:num w:numId="7">
    <w:abstractNumId w:val="28"/>
  </w:num>
  <w:num w:numId="8">
    <w:abstractNumId w:val="11"/>
  </w:num>
  <w:num w:numId="9">
    <w:abstractNumId w:val="14"/>
  </w:num>
  <w:num w:numId="10">
    <w:abstractNumId w:val="35"/>
  </w:num>
  <w:num w:numId="11">
    <w:abstractNumId w:val="19"/>
  </w:num>
  <w:num w:numId="12">
    <w:abstractNumId w:val="9"/>
  </w:num>
  <w:num w:numId="13">
    <w:abstractNumId w:val="24"/>
  </w:num>
  <w:num w:numId="14">
    <w:abstractNumId w:val="12"/>
  </w:num>
  <w:num w:numId="15">
    <w:abstractNumId w:val="8"/>
  </w:num>
  <w:num w:numId="16">
    <w:abstractNumId w:val="27"/>
  </w:num>
  <w:num w:numId="17">
    <w:abstractNumId w:val="7"/>
  </w:num>
  <w:num w:numId="18">
    <w:abstractNumId w:val="17"/>
  </w:num>
  <w:num w:numId="19">
    <w:abstractNumId w:val="3"/>
  </w:num>
  <w:num w:numId="20">
    <w:abstractNumId w:val="10"/>
  </w:num>
  <w:num w:numId="21">
    <w:abstractNumId w:val="2"/>
  </w:num>
  <w:num w:numId="22">
    <w:abstractNumId w:val="15"/>
  </w:num>
  <w:num w:numId="23">
    <w:abstractNumId w:val="13"/>
  </w:num>
  <w:num w:numId="24">
    <w:abstractNumId w:val="5"/>
  </w:num>
  <w:num w:numId="25">
    <w:abstractNumId w:val="34"/>
  </w:num>
  <w:num w:numId="26">
    <w:abstractNumId w:val="16"/>
  </w:num>
  <w:num w:numId="27">
    <w:abstractNumId w:val="30"/>
  </w:num>
  <w:num w:numId="28">
    <w:abstractNumId w:val="25"/>
  </w:num>
  <w:num w:numId="29">
    <w:abstractNumId w:val="31"/>
  </w:num>
  <w:num w:numId="30">
    <w:abstractNumId w:val="4"/>
  </w:num>
  <w:num w:numId="31">
    <w:abstractNumId w:val="21"/>
  </w:num>
  <w:num w:numId="32">
    <w:abstractNumId w:val="26"/>
  </w:num>
  <w:num w:numId="33">
    <w:abstractNumId w:val="1"/>
  </w:num>
  <w:num w:numId="34">
    <w:abstractNumId w:val="33"/>
  </w:num>
  <w:num w:numId="35">
    <w:abstractNumId w:val="0"/>
  </w:num>
  <w:num w:numId="3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0B"/>
    <w:rsid w:val="00012FE3"/>
    <w:rsid w:val="000136FF"/>
    <w:rsid w:val="0001403C"/>
    <w:rsid w:val="00015B76"/>
    <w:rsid w:val="00021565"/>
    <w:rsid w:val="00021737"/>
    <w:rsid w:val="000257C4"/>
    <w:rsid w:val="00027EE3"/>
    <w:rsid w:val="000300FA"/>
    <w:rsid w:val="0003031B"/>
    <w:rsid w:val="00035C2D"/>
    <w:rsid w:val="00037BAA"/>
    <w:rsid w:val="00042B9A"/>
    <w:rsid w:val="00043CFA"/>
    <w:rsid w:val="00052C9A"/>
    <w:rsid w:val="00054CAE"/>
    <w:rsid w:val="00056F2B"/>
    <w:rsid w:val="000900D4"/>
    <w:rsid w:val="00091724"/>
    <w:rsid w:val="000A34CC"/>
    <w:rsid w:val="000A6450"/>
    <w:rsid w:val="000B48FE"/>
    <w:rsid w:val="000C0BBF"/>
    <w:rsid w:val="000D4336"/>
    <w:rsid w:val="000D4DC5"/>
    <w:rsid w:val="000D5CB8"/>
    <w:rsid w:val="000D64B3"/>
    <w:rsid w:val="000F381F"/>
    <w:rsid w:val="000F5B91"/>
    <w:rsid w:val="000F6990"/>
    <w:rsid w:val="0010391F"/>
    <w:rsid w:val="001043BD"/>
    <w:rsid w:val="00110022"/>
    <w:rsid w:val="00115482"/>
    <w:rsid w:val="00125D20"/>
    <w:rsid w:val="00134ACC"/>
    <w:rsid w:val="0013644F"/>
    <w:rsid w:val="0014044A"/>
    <w:rsid w:val="00151C5F"/>
    <w:rsid w:val="001528B0"/>
    <w:rsid w:val="00154574"/>
    <w:rsid w:val="001623F5"/>
    <w:rsid w:val="00163324"/>
    <w:rsid w:val="00167D11"/>
    <w:rsid w:val="00172C1E"/>
    <w:rsid w:val="001957E4"/>
    <w:rsid w:val="0019613B"/>
    <w:rsid w:val="001A1F9B"/>
    <w:rsid w:val="001A3335"/>
    <w:rsid w:val="001C0EE6"/>
    <w:rsid w:val="001C5150"/>
    <w:rsid w:val="001E2479"/>
    <w:rsid w:val="001E629A"/>
    <w:rsid w:val="002020DB"/>
    <w:rsid w:val="00224F9A"/>
    <w:rsid w:val="002303AB"/>
    <w:rsid w:val="002353D6"/>
    <w:rsid w:val="00237C86"/>
    <w:rsid w:val="00245AFE"/>
    <w:rsid w:val="00270EEE"/>
    <w:rsid w:val="00272F07"/>
    <w:rsid w:val="002733A6"/>
    <w:rsid w:val="00282721"/>
    <w:rsid w:val="002A1595"/>
    <w:rsid w:val="002A1763"/>
    <w:rsid w:val="002C082E"/>
    <w:rsid w:val="002D458C"/>
    <w:rsid w:val="002E3CF0"/>
    <w:rsid w:val="002F5C17"/>
    <w:rsid w:val="003062C4"/>
    <w:rsid w:val="00315C12"/>
    <w:rsid w:val="00316DFD"/>
    <w:rsid w:val="00322DA0"/>
    <w:rsid w:val="00325D9E"/>
    <w:rsid w:val="003270DE"/>
    <w:rsid w:val="0032790C"/>
    <w:rsid w:val="003317B7"/>
    <w:rsid w:val="0033517E"/>
    <w:rsid w:val="00337603"/>
    <w:rsid w:val="003377CE"/>
    <w:rsid w:val="003443F4"/>
    <w:rsid w:val="00346197"/>
    <w:rsid w:val="00347A8E"/>
    <w:rsid w:val="00353A94"/>
    <w:rsid w:val="003563C0"/>
    <w:rsid w:val="00380BC7"/>
    <w:rsid w:val="00381033"/>
    <w:rsid w:val="00381546"/>
    <w:rsid w:val="00384A72"/>
    <w:rsid w:val="003A6FD7"/>
    <w:rsid w:val="003B604F"/>
    <w:rsid w:val="003D4BA7"/>
    <w:rsid w:val="003D5B3A"/>
    <w:rsid w:val="003E70B5"/>
    <w:rsid w:val="003F14F9"/>
    <w:rsid w:val="003F79B5"/>
    <w:rsid w:val="003F7E26"/>
    <w:rsid w:val="00402154"/>
    <w:rsid w:val="00413491"/>
    <w:rsid w:val="00445870"/>
    <w:rsid w:val="004530D3"/>
    <w:rsid w:val="004541A2"/>
    <w:rsid w:val="00463D0D"/>
    <w:rsid w:val="004649D3"/>
    <w:rsid w:val="00471692"/>
    <w:rsid w:val="00475ED5"/>
    <w:rsid w:val="00476135"/>
    <w:rsid w:val="004830B3"/>
    <w:rsid w:val="0049043C"/>
    <w:rsid w:val="0049239E"/>
    <w:rsid w:val="00493FDE"/>
    <w:rsid w:val="004A08C9"/>
    <w:rsid w:val="004A143E"/>
    <w:rsid w:val="004A2ABF"/>
    <w:rsid w:val="004B1E23"/>
    <w:rsid w:val="004B6249"/>
    <w:rsid w:val="004C5C03"/>
    <w:rsid w:val="004C68EF"/>
    <w:rsid w:val="004D11A8"/>
    <w:rsid w:val="004D1B3E"/>
    <w:rsid w:val="004E7258"/>
    <w:rsid w:val="004F72E3"/>
    <w:rsid w:val="0050088E"/>
    <w:rsid w:val="00512774"/>
    <w:rsid w:val="00514558"/>
    <w:rsid w:val="00520D7E"/>
    <w:rsid w:val="0052501F"/>
    <w:rsid w:val="005259FE"/>
    <w:rsid w:val="00531536"/>
    <w:rsid w:val="005360FE"/>
    <w:rsid w:val="00542B14"/>
    <w:rsid w:val="00544E60"/>
    <w:rsid w:val="005622F5"/>
    <w:rsid w:val="00572185"/>
    <w:rsid w:val="00586393"/>
    <w:rsid w:val="00596FAD"/>
    <w:rsid w:val="005A413F"/>
    <w:rsid w:val="005A7ECE"/>
    <w:rsid w:val="005C3A80"/>
    <w:rsid w:val="005C5532"/>
    <w:rsid w:val="005C79D5"/>
    <w:rsid w:val="005D18A5"/>
    <w:rsid w:val="005E49E2"/>
    <w:rsid w:val="005E61A5"/>
    <w:rsid w:val="005E61E0"/>
    <w:rsid w:val="005F35B0"/>
    <w:rsid w:val="005F78E4"/>
    <w:rsid w:val="005F7A27"/>
    <w:rsid w:val="00602BD8"/>
    <w:rsid w:val="00604ED4"/>
    <w:rsid w:val="00607198"/>
    <w:rsid w:val="006374B1"/>
    <w:rsid w:val="00641C3D"/>
    <w:rsid w:val="00653AC5"/>
    <w:rsid w:val="00660BB7"/>
    <w:rsid w:val="00662FEC"/>
    <w:rsid w:val="0066566B"/>
    <w:rsid w:val="00671BA6"/>
    <w:rsid w:val="00686FBB"/>
    <w:rsid w:val="006929FA"/>
    <w:rsid w:val="006A116C"/>
    <w:rsid w:val="006A2792"/>
    <w:rsid w:val="006A2A0D"/>
    <w:rsid w:val="006A2F0B"/>
    <w:rsid w:val="006B4695"/>
    <w:rsid w:val="006B7FB2"/>
    <w:rsid w:val="006C2614"/>
    <w:rsid w:val="006C74A6"/>
    <w:rsid w:val="006D1493"/>
    <w:rsid w:val="006D4FCD"/>
    <w:rsid w:val="006E5AC2"/>
    <w:rsid w:val="006F44B6"/>
    <w:rsid w:val="006F69A2"/>
    <w:rsid w:val="00700304"/>
    <w:rsid w:val="007154C3"/>
    <w:rsid w:val="007248AD"/>
    <w:rsid w:val="00731EA0"/>
    <w:rsid w:val="0075601E"/>
    <w:rsid w:val="00761FD6"/>
    <w:rsid w:val="00762632"/>
    <w:rsid w:val="00773151"/>
    <w:rsid w:val="00781C6D"/>
    <w:rsid w:val="00790D72"/>
    <w:rsid w:val="00794869"/>
    <w:rsid w:val="007A2D72"/>
    <w:rsid w:val="007C0085"/>
    <w:rsid w:val="007D5622"/>
    <w:rsid w:val="007E257A"/>
    <w:rsid w:val="007E343E"/>
    <w:rsid w:val="007F188F"/>
    <w:rsid w:val="008018F1"/>
    <w:rsid w:val="00802AE9"/>
    <w:rsid w:val="008073E6"/>
    <w:rsid w:val="008203EB"/>
    <w:rsid w:val="00841448"/>
    <w:rsid w:val="00842860"/>
    <w:rsid w:val="008449A3"/>
    <w:rsid w:val="008469CF"/>
    <w:rsid w:val="00870FD6"/>
    <w:rsid w:val="00883913"/>
    <w:rsid w:val="00892946"/>
    <w:rsid w:val="008961C6"/>
    <w:rsid w:val="008B0F91"/>
    <w:rsid w:val="008B2DF0"/>
    <w:rsid w:val="008B6883"/>
    <w:rsid w:val="008C04F7"/>
    <w:rsid w:val="008C09E6"/>
    <w:rsid w:val="008C0C34"/>
    <w:rsid w:val="008D21B8"/>
    <w:rsid w:val="008D79A4"/>
    <w:rsid w:val="008E0539"/>
    <w:rsid w:val="008E0B8B"/>
    <w:rsid w:val="008E1A12"/>
    <w:rsid w:val="00904908"/>
    <w:rsid w:val="0091316B"/>
    <w:rsid w:val="009149F0"/>
    <w:rsid w:val="00914A57"/>
    <w:rsid w:val="009210C4"/>
    <w:rsid w:val="009217DD"/>
    <w:rsid w:val="00922CD2"/>
    <w:rsid w:val="00930570"/>
    <w:rsid w:val="00941736"/>
    <w:rsid w:val="00942EB3"/>
    <w:rsid w:val="00951FDC"/>
    <w:rsid w:val="0095210D"/>
    <w:rsid w:val="009568DE"/>
    <w:rsid w:val="00963F0B"/>
    <w:rsid w:val="0097113E"/>
    <w:rsid w:val="00972252"/>
    <w:rsid w:val="00973474"/>
    <w:rsid w:val="0097718B"/>
    <w:rsid w:val="009835A8"/>
    <w:rsid w:val="0099184F"/>
    <w:rsid w:val="00997D0F"/>
    <w:rsid w:val="009B4E4C"/>
    <w:rsid w:val="009B7711"/>
    <w:rsid w:val="009C2566"/>
    <w:rsid w:val="009C2862"/>
    <w:rsid w:val="009D09E7"/>
    <w:rsid w:val="009D0E79"/>
    <w:rsid w:val="009D3D1F"/>
    <w:rsid w:val="009E34C0"/>
    <w:rsid w:val="009E40B8"/>
    <w:rsid w:val="009E40F4"/>
    <w:rsid w:val="009E5DD3"/>
    <w:rsid w:val="009E752B"/>
    <w:rsid w:val="009F4478"/>
    <w:rsid w:val="009F63A8"/>
    <w:rsid w:val="009F64AD"/>
    <w:rsid w:val="00A138D9"/>
    <w:rsid w:val="00A26E34"/>
    <w:rsid w:val="00A57155"/>
    <w:rsid w:val="00A57819"/>
    <w:rsid w:val="00A67454"/>
    <w:rsid w:val="00A7051A"/>
    <w:rsid w:val="00A72510"/>
    <w:rsid w:val="00A7638C"/>
    <w:rsid w:val="00A8439D"/>
    <w:rsid w:val="00A871FE"/>
    <w:rsid w:val="00A9490A"/>
    <w:rsid w:val="00AA2055"/>
    <w:rsid w:val="00AA3244"/>
    <w:rsid w:val="00AB15DB"/>
    <w:rsid w:val="00AD2D33"/>
    <w:rsid w:val="00AD6114"/>
    <w:rsid w:val="00AE573C"/>
    <w:rsid w:val="00AE76D7"/>
    <w:rsid w:val="00AF500F"/>
    <w:rsid w:val="00B054A9"/>
    <w:rsid w:val="00B16071"/>
    <w:rsid w:val="00B21EE7"/>
    <w:rsid w:val="00B301F0"/>
    <w:rsid w:val="00B34A42"/>
    <w:rsid w:val="00B36152"/>
    <w:rsid w:val="00B36D25"/>
    <w:rsid w:val="00B441E9"/>
    <w:rsid w:val="00B473B0"/>
    <w:rsid w:val="00B5102D"/>
    <w:rsid w:val="00B57F88"/>
    <w:rsid w:val="00B61053"/>
    <w:rsid w:val="00B72559"/>
    <w:rsid w:val="00B73727"/>
    <w:rsid w:val="00B742A9"/>
    <w:rsid w:val="00B75118"/>
    <w:rsid w:val="00B77266"/>
    <w:rsid w:val="00B81A5C"/>
    <w:rsid w:val="00B926A9"/>
    <w:rsid w:val="00BA13D2"/>
    <w:rsid w:val="00BA6424"/>
    <w:rsid w:val="00BA65C9"/>
    <w:rsid w:val="00BB5E52"/>
    <w:rsid w:val="00BC0B3F"/>
    <w:rsid w:val="00BC3DC2"/>
    <w:rsid w:val="00BD1BD2"/>
    <w:rsid w:val="00BD5F01"/>
    <w:rsid w:val="00BD692E"/>
    <w:rsid w:val="00BD7BB9"/>
    <w:rsid w:val="00BE0190"/>
    <w:rsid w:val="00BE168F"/>
    <w:rsid w:val="00BE2345"/>
    <w:rsid w:val="00BE26EB"/>
    <w:rsid w:val="00BF6267"/>
    <w:rsid w:val="00C03791"/>
    <w:rsid w:val="00C0783E"/>
    <w:rsid w:val="00C1015A"/>
    <w:rsid w:val="00C157DE"/>
    <w:rsid w:val="00C21F70"/>
    <w:rsid w:val="00C23BD6"/>
    <w:rsid w:val="00C32B54"/>
    <w:rsid w:val="00C41615"/>
    <w:rsid w:val="00C436A5"/>
    <w:rsid w:val="00C51AFA"/>
    <w:rsid w:val="00C660E3"/>
    <w:rsid w:val="00C67FE3"/>
    <w:rsid w:val="00C730C6"/>
    <w:rsid w:val="00C827EC"/>
    <w:rsid w:val="00C906CC"/>
    <w:rsid w:val="00CA711A"/>
    <w:rsid w:val="00CB2540"/>
    <w:rsid w:val="00CB7B56"/>
    <w:rsid w:val="00CC08A4"/>
    <w:rsid w:val="00CC1327"/>
    <w:rsid w:val="00CC2E64"/>
    <w:rsid w:val="00CC3BA5"/>
    <w:rsid w:val="00CC79FE"/>
    <w:rsid w:val="00CD00AB"/>
    <w:rsid w:val="00CD0E0D"/>
    <w:rsid w:val="00CD4A8B"/>
    <w:rsid w:val="00CE5669"/>
    <w:rsid w:val="00D036E1"/>
    <w:rsid w:val="00D04425"/>
    <w:rsid w:val="00D17299"/>
    <w:rsid w:val="00D226D1"/>
    <w:rsid w:val="00D32AA6"/>
    <w:rsid w:val="00D41645"/>
    <w:rsid w:val="00D45956"/>
    <w:rsid w:val="00D50B95"/>
    <w:rsid w:val="00D5519E"/>
    <w:rsid w:val="00D55C01"/>
    <w:rsid w:val="00D60B42"/>
    <w:rsid w:val="00D74F80"/>
    <w:rsid w:val="00D836D4"/>
    <w:rsid w:val="00D840A8"/>
    <w:rsid w:val="00D933A1"/>
    <w:rsid w:val="00D95035"/>
    <w:rsid w:val="00DA10CB"/>
    <w:rsid w:val="00DA6796"/>
    <w:rsid w:val="00DC0143"/>
    <w:rsid w:val="00DC173C"/>
    <w:rsid w:val="00DC2AAE"/>
    <w:rsid w:val="00DC368A"/>
    <w:rsid w:val="00DC463A"/>
    <w:rsid w:val="00DD0C92"/>
    <w:rsid w:val="00DD3B5C"/>
    <w:rsid w:val="00DE1EEF"/>
    <w:rsid w:val="00DE4ABC"/>
    <w:rsid w:val="00DE66E8"/>
    <w:rsid w:val="00DF4312"/>
    <w:rsid w:val="00E0649A"/>
    <w:rsid w:val="00E108B0"/>
    <w:rsid w:val="00E20DC6"/>
    <w:rsid w:val="00E3769E"/>
    <w:rsid w:val="00E41731"/>
    <w:rsid w:val="00E42D69"/>
    <w:rsid w:val="00E4481C"/>
    <w:rsid w:val="00E44D42"/>
    <w:rsid w:val="00E660AE"/>
    <w:rsid w:val="00E74BA8"/>
    <w:rsid w:val="00E74C3A"/>
    <w:rsid w:val="00E76323"/>
    <w:rsid w:val="00E776D5"/>
    <w:rsid w:val="00E9048D"/>
    <w:rsid w:val="00E914DF"/>
    <w:rsid w:val="00E95D8D"/>
    <w:rsid w:val="00EA00AC"/>
    <w:rsid w:val="00EA296F"/>
    <w:rsid w:val="00EA633F"/>
    <w:rsid w:val="00EA79ED"/>
    <w:rsid w:val="00EC024E"/>
    <w:rsid w:val="00EC500F"/>
    <w:rsid w:val="00EC6AC7"/>
    <w:rsid w:val="00ED46C6"/>
    <w:rsid w:val="00ED47BB"/>
    <w:rsid w:val="00ED7A32"/>
    <w:rsid w:val="00EE2F9E"/>
    <w:rsid w:val="00EF5BC6"/>
    <w:rsid w:val="00EF65F3"/>
    <w:rsid w:val="00EF6B62"/>
    <w:rsid w:val="00EF76B9"/>
    <w:rsid w:val="00F0008D"/>
    <w:rsid w:val="00F04956"/>
    <w:rsid w:val="00F27D55"/>
    <w:rsid w:val="00F34AA3"/>
    <w:rsid w:val="00F40B60"/>
    <w:rsid w:val="00F42698"/>
    <w:rsid w:val="00F44AC1"/>
    <w:rsid w:val="00F45B45"/>
    <w:rsid w:val="00F57560"/>
    <w:rsid w:val="00F7193B"/>
    <w:rsid w:val="00F725F6"/>
    <w:rsid w:val="00F95EA8"/>
    <w:rsid w:val="00FB171D"/>
    <w:rsid w:val="00FB263D"/>
    <w:rsid w:val="00FB5428"/>
    <w:rsid w:val="00FD5850"/>
    <w:rsid w:val="00FD6DB0"/>
    <w:rsid w:val="00FE0CA9"/>
    <w:rsid w:val="00FE3E8A"/>
    <w:rsid w:val="00FF7819"/>
    <w:rsid w:val="0B43A188"/>
    <w:rsid w:val="13BE1EA3"/>
    <w:rsid w:val="26ACE04D"/>
    <w:rsid w:val="3807C6D0"/>
    <w:rsid w:val="47F28135"/>
    <w:rsid w:val="48E3FC73"/>
    <w:rsid w:val="4F79C4E4"/>
    <w:rsid w:val="50F90695"/>
    <w:rsid w:val="53A33D6A"/>
    <w:rsid w:val="54F9D676"/>
    <w:rsid w:val="55461FDC"/>
    <w:rsid w:val="5C36A27C"/>
    <w:rsid w:val="63EAAFBC"/>
    <w:rsid w:val="6598C0A4"/>
    <w:rsid w:val="74BB0FF3"/>
    <w:rsid w:val="752D21D3"/>
    <w:rsid w:val="7BDE4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85F"/>
  <w15:chartTrackingRefBased/>
  <w15:docId w15:val="{2B33B0C5-DB5D-40DB-A922-C751EB3E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5B0"/>
    <w:pPr>
      <w:spacing w:before="100" w:beforeAutospacing="1" w:after="100" w:afterAutospacing="1" w:line="240" w:lineRule="auto"/>
    </w:pPr>
    <w:rPr>
      <w:rFonts w:ascii="Roboto" w:eastAsia="Calibri" w:hAnsi="Roboto" w:cs="Times New Roman"/>
      <w:sz w:val="24"/>
      <w:szCs w:val="24"/>
    </w:rPr>
  </w:style>
  <w:style w:type="paragraph" w:styleId="Heading1">
    <w:name w:val="heading 1"/>
    <w:basedOn w:val="Normal"/>
    <w:link w:val="Heading1Char"/>
    <w:uiPriority w:val="1"/>
    <w:qFormat/>
    <w:rsid w:val="001C0EE6"/>
    <w:pPr>
      <w:widowControl w:val="0"/>
      <w:autoSpaceDE w:val="0"/>
      <w:autoSpaceDN w:val="0"/>
      <w:spacing w:line="593" w:lineRule="exact"/>
      <w:ind w:right="3088"/>
      <w:outlineLvl w:val="0"/>
    </w:pPr>
    <w:rPr>
      <w:rFonts w:eastAsia="Roboto" w:cs="Roboto"/>
      <w:b/>
      <w:bCs/>
      <w:sz w:val="36"/>
      <w:szCs w:val="52"/>
      <w:lang w:eastAsia="en-AU" w:bidi="en-AU"/>
    </w:rPr>
  </w:style>
  <w:style w:type="paragraph" w:styleId="Heading2">
    <w:name w:val="heading 2"/>
    <w:basedOn w:val="Normal"/>
    <w:next w:val="Normal"/>
    <w:link w:val="Heading2Char"/>
    <w:uiPriority w:val="9"/>
    <w:unhideWhenUsed/>
    <w:qFormat/>
    <w:rsid w:val="001C0EE6"/>
    <w:pPr>
      <w:keepNext/>
      <w:keepLines/>
      <w:spacing w:before="280" w:after="240"/>
      <w:outlineLvl w:val="1"/>
    </w:pPr>
    <w:rPr>
      <w:rFonts w:eastAsia="Roboto" w:cstheme="majorBidi"/>
      <w:b/>
      <w:color w:val="000000" w:themeColor="text1"/>
      <w:sz w:val="28"/>
      <w:szCs w:val="26"/>
    </w:rPr>
  </w:style>
  <w:style w:type="paragraph" w:styleId="Heading3">
    <w:name w:val="heading 3"/>
    <w:basedOn w:val="Heading2"/>
    <w:next w:val="Normal"/>
    <w:link w:val="Heading3Char"/>
    <w:uiPriority w:val="9"/>
    <w:unhideWhenUsed/>
    <w:qFormat/>
    <w:rsid w:val="00D60B42"/>
    <w:pPr>
      <w:outlineLvl w:val="2"/>
    </w:pPr>
    <w:rPr>
      <w:sz w:val="24"/>
      <w:szCs w:val="24"/>
    </w:rPr>
  </w:style>
  <w:style w:type="paragraph" w:styleId="Heading4">
    <w:name w:val="heading 4"/>
    <w:basedOn w:val="Normal"/>
    <w:next w:val="Normal"/>
    <w:link w:val="Heading4Char"/>
    <w:uiPriority w:val="9"/>
    <w:semiHidden/>
    <w:unhideWhenUsed/>
    <w:qFormat/>
    <w:rsid w:val="00F95E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5E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2F0B"/>
    <w:pPr>
      <w:widowControl w:val="0"/>
      <w:autoSpaceDE w:val="0"/>
      <w:autoSpaceDN w:val="0"/>
    </w:pPr>
    <w:rPr>
      <w:rFonts w:eastAsia="Roboto" w:cs="Roboto"/>
      <w:sz w:val="36"/>
      <w:szCs w:val="36"/>
      <w:lang w:eastAsia="en-AU" w:bidi="en-AU"/>
    </w:rPr>
  </w:style>
  <w:style w:type="character" w:customStyle="1" w:styleId="BodyTextChar">
    <w:name w:val="Body Text Char"/>
    <w:basedOn w:val="DefaultParagraphFont"/>
    <w:link w:val="BodyText"/>
    <w:uiPriority w:val="1"/>
    <w:rsid w:val="006A2F0B"/>
    <w:rPr>
      <w:rFonts w:ascii="Roboto" w:eastAsia="Roboto" w:hAnsi="Roboto" w:cs="Roboto"/>
      <w:sz w:val="36"/>
      <w:szCs w:val="36"/>
      <w:lang w:eastAsia="en-AU" w:bidi="en-AU"/>
    </w:rPr>
  </w:style>
  <w:style w:type="paragraph" w:styleId="ListParagraph">
    <w:name w:val="List Paragraph"/>
    <w:basedOn w:val="Normal"/>
    <w:uiPriority w:val="1"/>
    <w:qFormat/>
    <w:rsid w:val="006A2F0B"/>
    <w:pPr>
      <w:widowControl w:val="0"/>
      <w:autoSpaceDE w:val="0"/>
      <w:autoSpaceDN w:val="0"/>
      <w:ind w:left="568" w:hanging="452"/>
    </w:pPr>
    <w:rPr>
      <w:rFonts w:eastAsia="Roboto" w:cs="Roboto"/>
      <w:lang w:eastAsia="en-AU" w:bidi="en-AU"/>
    </w:rPr>
  </w:style>
  <w:style w:type="character" w:styleId="CommentReference">
    <w:name w:val="annotation reference"/>
    <w:basedOn w:val="DefaultParagraphFont"/>
    <w:uiPriority w:val="99"/>
    <w:semiHidden/>
    <w:unhideWhenUsed/>
    <w:rsid w:val="0050088E"/>
    <w:rPr>
      <w:sz w:val="16"/>
      <w:szCs w:val="16"/>
    </w:rPr>
  </w:style>
  <w:style w:type="paragraph" w:styleId="CommentText">
    <w:name w:val="annotation text"/>
    <w:basedOn w:val="Normal"/>
    <w:link w:val="CommentTextChar"/>
    <w:uiPriority w:val="99"/>
    <w:semiHidden/>
    <w:unhideWhenUsed/>
    <w:rsid w:val="0050088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088E"/>
    <w:rPr>
      <w:sz w:val="20"/>
      <w:szCs w:val="20"/>
    </w:rPr>
  </w:style>
  <w:style w:type="paragraph" w:styleId="BalloonText">
    <w:name w:val="Balloon Text"/>
    <w:basedOn w:val="Normal"/>
    <w:link w:val="BalloonTextChar"/>
    <w:uiPriority w:val="99"/>
    <w:semiHidden/>
    <w:unhideWhenUsed/>
    <w:rsid w:val="0050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8E"/>
    <w:rPr>
      <w:rFonts w:ascii="Segoe UI" w:eastAsia="Calibri" w:hAnsi="Segoe UI" w:cs="Segoe UI"/>
      <w:sz w:val="18"/>
      <w:szCs w:val="18"/>
    </w:rPr>
  </w:style>
  <w:style w:type="paragraph" w:styleId="Revision">
    <w:name w:val="Revision"/>
    <w:hidden/>
    <w:uiPriority w:val="99"/>
    <w:semiHidden/>
    <w:rsid w:val="000D64B3"/>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2055"/>
    <w:pPr>
      <w:spacing w:after="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A2055"/>
    <w:rPr>
      <w:rFonts w:ascii="Calibri" w:eastAsia="Calibri" w:hAnsi="Calibri" w:cs="Times New Roman"/>
      <w:b/>
      <w:bCs/>
      <w:sz w:val="20"/>
      <w:szCs w:val="20"/>
    </w:rPr>
  </w:style>
  <w:style w:type="character" w:customStyle="1" w:styleId="Heading1Char">
    <w:name w:val="Heading 1 Char"/>
    <w:basedOn w:val="DefaultParagraphFont"/>
    <w:link w:val="Heading1"/>
    <w:uiPriority w:val="1"/>
    <w:rsid w:val="001C0EE6"/>
    <w:rPr>
      <w:rFonts w:ascii="Roboto" w:eastAsia="Roboto" w:hAnsi="Roboto" w:cs="Roboto"/>
      <w:b/>
      <w:bCs/>
      <w:sz w:val="36"/>
      <w:szCs w:val="52"/>
      <w:lang w:eastAsia="en-AU" w:bidi="en-AU"/>
    </w:rPr>
  </w:style>
  <w:style w:type="paragraph" w:styleId="Header">
    <w:name w:val="header"/>
    <w:basedOn w:val="Normal"/>
    <w:link w:val="HeaderChar"/>
    <w:uiPriority w:val="99"/>
    <w:unhideWhenUsed/>
    <w:rsid w:val="009B7711"/>
    <w:pPr>
      <w:tabs>
        <w:tab w:val="center" w:pos="4513"/>
        <w:tab w:val="right" w:pos="9026"/>
      </w:tabs>
    </w:pPr>
  </w:style>
  <w:style w:type="character" w:customStyle="1" w:styleId="HeaderChar">
    <w:name w:val="Header Char"/>
    <w:basedOn w:val="DefaultParagraphFont"/>
    <w:link w:val="Header"/>
    <w:uiPriority w:val="99"/>
    <w:rsid w:val="009B7711"/>
    <w:rPr>
      <w:rFonts w:ascii="Calibri" w:eastAsia="Calibri" w:hAnsi="Calibri" w:cs="Times New Roman"/>
    </w:rPr>
  </w:style>
  <w:style w:type="paragraph" w:styleId="Footer">
    <w:name w:val="footer"/>
    <w:basedOn w:val="Normal"/>
    <w:link w:val="FooterChar"/>
    <w:uiPriority w:val="99"/>
    <w:unhideWhenUsed/>
    <w:rsid w:val="009B7711"/>
    <w:pPr>
      <w:tabs>
        <w:tab w:val="center" w:pos="4513"/>
        <w:tab w:val="right" w:pos="9026"/>
      </w:tabs>
    </w:pPr>
  </w:style>
  <w:style w:type="character" w:customStyle="1" w:styleId="FooterChar">
    <w:name w:val="Footer Char"/>
    <w:basedOn w:val="DefaultParagraphFont"/>
    <w:link w:val="Footer"/>
    <w:uiPriority w:val="99"/>
    <w:rsid w:val="009B7711"/>
    <w:rPr>
      <w:rFonts w:ascii="Calibri" w:eastAsia="Calibri" w:hAnsi="Calibri" w:cs="Times New Roman"/>
    </w:rPr>
  </w:style>
  <w:style w:type="paragraph" w:customStyle="1" w:styleId="Intro13ptLight">
    <w:name w:val="Intro 13pt Light"/>
    <w:basedOn w:val="Normal"/>
    <w:uiPriority w:val="99"/>
    <w:rsid w:val="00FB263D"/>
    <w:pPr>
      <w:suppressAutoHyphens/>
      <w:autoSpaceDE w:val="0"/>
      <w:autoSpaceDN w:val="0"/>
      <w:adjustRightInd w:val="0"/>
      <w:spacing w:after="170" w:line="288" w:lineRule="auto"/>
      <w:textAlignment w:val="center"/>
    </w:pPr>
    <w:rPr>
      <w:rFonts w:ascii="Roboto Light" w:eastAsiaTheme="minorHAnsi" w:hAnsi="Roboto Light" w:cs="Roboto Light"/>
      <w:b/>
      <w:bCs/>
      <w:color w:val="404041"/>
      <w:sz w:val="26"/>
      <w:szCs w:val="26"/>
      <w:lang w:val="en-GB"/>
    </w:rPr>
  </w:style>
  <w:style w:type="paragraph" w:customStyle="1" w:styleId="Body1013pt">
    <w:name w:val="Body 10/13pt"/>
    <w:basedOn w:val="Normal"/>
    <w:uiPriority w:val="99"/>
    <w:rsid w:val="00FB263D"/>
    <w:pPr>
      <w:suppressAutoHyphens/>
      <w:autoSpaceDE w:val="0"/>
      <w:autoSpaceDN w:val="0"/>
      <w:adjustRightInd w:val="0"/>
      <w:spacing w:after="113" w:line="260" w:lineRule="atLeast"/>
      <w:textAlignment w:val="center"/>
    </w:pPr>
    <w:rPr>
      <w:rFonts w:ascii="Roboto Light" w:eastAsiaTheme="minorHAnsi" w:hAnsi="Roboto Light" w:cs="Roboto Light"/>
      <w:color w:val="000000"/>
      <w:sz w:val="20"/>
      <w:szCs w:val="20"/>
      <w:lang w:val="en-US"/>
    </w:rPr>
  </w:style>
  <w:style w:type="paragraph" w:customStyle="1" w:styleId="BodyGeneral">
    <w:name w:val="Body (General)"/>
    <w:basedOn w:val="Normal"/>
    <w:uiPriority w:val="99"/>
    <w:rsid w:val="00FB263D"/>
    <w:pPr>
      <w:suppressAutoHyphens/>
      <w:autoSpaceDE w:val="0"/>
      <w:autoSpaceDN w:val="0"/>
      <w:adjustRightInd w:val="0"/>
      <w:spacing w:after="113" w:line="260" w:lineRule="atLeast"/>
      <w:textAlignment w:val="center"/>
    </w:pPr>
    <w:rPr>
      <w:rFonts w:ascii="Roboto Light" w:eastAsiaTheme="minorHAnsi" w:hAnsi="Roboto Light" w:cs="Roboto Light"/>
      <w:color w:val="000000"/>
      <w:spacing w:val="10"/>
      <w:sz w:val="20"/>
      <w:szCs w:val="20"/>
      <w:lang w:val="en-US"/>
    </w:rPr>
  </w:style>
  <w:style w:type="paragraph" w:customStyle="1" w:styleId="BODY10143COL">
    <w:name w:val="BODY 10/14 3 COL"/>
    <w:basedOn w:val="Normal"/>
    <w:uiPriority w:val="99"/>
    <w:rsid w:val="003B604F"/>
    <w:pPr>
      <w:suppressAutoHyphens/>
      <w:autoSpaceDE w:val="0"/>
      <w:autoSpaceDN w:val="0"/>
      <w:adjustRightInd w:val="0"/>
      <w:spacing w:after="113" w:line="280" w:lineRule="atLeast"/>
      <w:textAlignment w:val="center"/>
    </w:pPr>
    <w:rPr>
      <w:rFonts w:ascii="Roboto Light" w:eastAsiaTheme="minorHAnsi" w:hAnsi="Roboto Light" w:cs="Roboto Light"/>
      <w:color w:val="000000"/>
      <w:spacing w:val="10"/>
      <w:sz w:val="20"/>
      <w:szCs w:val="20"/>
      <w:lang w:val="en-US"/>
    </w:rPr>
  </w:style>
  <w:style w:type="paragraph" w:customStyle="1" w:styleId="team1Team">
    <w:name w:val="team 1 (Team)"/>
    <w:basedOn w:val="Normal"/>
    <w:uiPriority w:val="99"/>
    <w:rsid w:val="006B4695"/>
    <w:pPr>
      <w:suppressAutoHyphens/>
      <w:autoSpaceDE w:val="0"/>
      <w:autoSpaceDN w:val="0"/>
      <w:adjustRightInd w:val="0"/>
      <w:spacing w:after="113" w:line="320" w:lineRule="atLeast"/>
      <w:ind w:left="113" w:right="113"/>
      <w:textAlignment w:val="center"/>
    </w:pPr>
    <w:rPr>
      <w:rFonts w:ascii="Roboto Slab" w:eastAsiaTheme="minorHAnsi" w:hAnsi="Roboto Slab" w:cs="Roboto Slab"/>
      <w:color w:val="000000"/>
      <w:spacing w:val="10"/>
      <w:sz w:val="20"/>
      <w:szCs w:val="20"/>
      <w:lang w:val="en-US"/>
    </w:rPr>
  </w:style>
  <w:style w:type="paragraph" w:customStyle="1" w:styleId="team2Team">
    <w:name w:val="team 2 (Team)"/>
    <w:basedOn w:val="Normal"/>
    <w:uiPriority w:val="99"/>
    <w:rsid w:val="006B4695"/>
    <w:pPr>
      <w:suppressAutoHyphens/>
      <w:autoSpaceDE w:val="0"/>
      <w:autoSpaceDN w:val="0"/>
      <w:adjustRightInd w:val="0"/>
      <w:spacing w:after="283" w:line="320" w:lineRule="atLeast"/>
      <w:textAlignment w:val="center"/>
    </w:pPr>
    <w:rPr>
      <w:rFonts w:ascii="Roboto Light" w:eastAsiaTheme="minorHAnsi" w:hAnsi="Roboto Light" w:cs="Roboto Light"/>
      <w:i/>
      <w:iCs/>
      <w:color w:val="1695A3"/>
      <w:spacing w:val="10"/>
      <w:sz w:val="20"/>
      <w:szCs w:val="20"/>
      <w:lang w:val="en-US"/>
    </w:rPr>
  </w:style>
  <w:style w:type="paragraph" w:customStyle="1" w:styleId="Body10142Col">
    <w:name w:val="Body 10/14 2 Col"/>
    <w:basedOn w:val="Normal"/>
    <w:uiPriority w:val="99"/>
    <w:rsid w:val="006B4695"/>
    <w:pPr>
      <w:suppressAutoHyphens/>
      <w:autoSpaceDE w:val="0"/>
      <w:autoSpaceDN w:val="0"/>
      <w:adjustRightInd w:val="0"/>
      <w:spacing w:after="113" w:line="280" w:lineRule="atLeast"/>
      <w:textAlignment w:val="center"/>
    </w:pPr>
    <w:rPr>
      <w:rFonts w:ascii="Roboto Light" w:eastAsiaTheme="minorHAnsi" w:hAnsi="Roboto Light" w:cs="Roboto Light"/>
      <w:color w:val="000000"/>
      <w:spacing w:val="10"/>
      <w:sz w:val="20"/>
      <w:szCs w:val="20"/>
      <w:lang w:val="en-US"/>
    </w:rPr>
  </w:style>
  <w:style w:type="paragraph" w:customStyle="1" w:styleId="Subhead1214Regular">
    <w:name w:val="Subhead 12/14 Regular"/>
    <w:basedOn w:val="Normal"/>
    <w:uiPriority w:val="99"/>
    <w:rsid w:val="006B4695"/>
    <w:pPr>
      <w:suppressAutoHyphens/>
      <w:autoSpaceDE w:val="0"/>
      <w:autoSpaceDN w:val="0"/>
      <w:adjustRightInd w:val="0"/>
      <w:spacing w:before="113" w:after="170" w:line="280" w:lineRule="atLeast"/>
      <w:textAlignment w:val="center"/>
    </w:pPr>
    <w:rPr>
      <w:rFonts w:eastAsiaTheme="minorHAnsi" w:cs="Roboto"/>
      <w:caps/>
      <w:color w:val="1F96A0"/>
      <w:lang w:val="en-US"/>
    </w:rPr>
  </w:style>
  <w:style w:type="paragraph" w:customStyle="1" w:styleId="BasicParagraph">
    <w:name w:val="[Basic Paragraph]"/>
    <w:basedOn w:val="Normal"/>
    <w:uiPriority w:val="99"/>
    <w:rsid w:val="00C730C6"/>
    <w:pPr>
      <w:suppressAutoHyphens/>
      <w:autoSpaceDE w:val="0"/>
      <w:autoSpaceDN w:val="0"/>
      <w:adjustRightInd w:val="0"/>
      <w:spacing w:line="320" w:lineRule="atLeast"/>
      <w:textAlignment w:val="center"/>
    </w:pPr>
    <w:rPr>
      <w:rFonts w:ascii="Roboto Light" w:eastAsiaTheme="minorHAnsi" w:hAnsi="Roboto Light" w:cs="Roboto Light"/>
      <w:color w:val="000000"/>
      <w:spacing w:val="10"/>
      <w:sz w:val="20"/>
      <w:szCs w:val="20"/>
      <w:lang w:val="en-US"/>
    </w:rPr>
  </w:style>
  <w:style w:type="paragraph" w:customStyle="1" w:styleId="Subhead1214ptRegular">
    <w:name w:val="Subhead 12/14pt Regular"/>
    <w:basedOn w:val="Normal"/>
    <w:uiPriority w:val="99"/>
    <w:rsid w:val="00E44D42"/>
    <w:pPr>
      <w:suppressAutoHyphens/>
      <w:autoSpaceDE w:val="0"/>
      <w:autoSpaceDN w:val="0"/>
      <w:adjustRightInd w:val="0"/>
      <w:spacing w:before="113" w:after="170" w:line="280" w:lineRule="atLeast"/>
      <w:textAlignment w:val="center"/>
    </w:pPr>
    <w:rPr>
      <w:rFonts w:eastAsiaTheme="minorHAnsi" w:cs="Roboto"/>
      <w:caps/>
      <w:color w:val="1F96A0"/>
      <w:lang w:val="en-US"/>
    </w:rPr>
  </w:style>
  <w:style w:type="paragraph" w:customStyle="1" w:styleId="Body1014">
    <w:name w:val="Body 10/14"/>
    <w:basedOn w:val="Normal"/>
    <w:uiPriority w:val="99"/>
    <w:rsid w:val="00282721"/>
    <w:pPr>
      <w:suppressAutoHyphens/>
      <w:autoSpaceDE w:val="0"/>
      <w:autoSpaceDN w:val="0"/>
      <w:adjustRightInd w:val="0"/>
      <w:spacing w:after="113" w:line="280" w:lineRule="atLeast"/>
      <w:textAlignment w:val="center"/>
    </w:pPr>
    <w:rPr>
      <w:rFonts w:ascii="Roboto Light" w:eastAsiaTheme="minorHAnsi" w:hAnsi="Roboto Light" w:cs="Roboto Light"/>
      <w:color w:val="000000"/>
      <w:spacing w:val="10"/>
      <w:sz w:val="20"/>
      <w:szCs w:val="20"/>
      <w:lang w:val="en-US"/>
    </w:rPr>
  </w:style>
  <w:style w:type="paragraph" w:customStyle="1" w:styleId="SUBHEAD1214LIGHTSentence">
    <w:name w:val="SUBHEAD 12/14 LIGHT Sentence"/>
    <w:basedOn w:val="Normal"/>
    <w:uiPriority w:val="99"/>
    <w:rsid w:val="000A6450"/>
    <w:pPr>
      <w:suppressAutoHyphens/>
      <w:autoSpaceDE w:val="0"/>
      <w:autoSpaceDN w:val="0"/>
      <w:adjustRightInd w:val="0"/>
      <w:spacing w:before="113" w:after="170" w:line="280" w:lineRule="atLeast"/>
      <w:textAlignment w:val="center"/>
    </w:pPr>
    <w:rPr>
      <w:rFonts w:ascii="Roboto Light" w:eastAsiaTheme="minorHAnsi" w:hAnsi="Roboto Light" w:cs="Roboto Light"/>
      <w:color w:val="1F96A0"/>
      <w:lang w:val="en-US"/>
    </w:rPr>
  </w:style>
  <w:style w:type="paragraph" w:customStyle="1" w:styleId="Body1013ptcopy2Col">
    <w:name w:val="Body 10/13pt copy 2Col"/>
    <w:basedOn w:val="Normal"/>
    <w:uiPriority w:val="99"/>
    <w:rsid w:val="00CC3BA5"/>
    <w:pPr>
      <w:suppressAutoHyphens/>
      <w:autoSpaceDE w:val="0"/>
      <w:autoSpaceDN w:val="0"/>
      <w:adjustRightInd w:val="0"/>
      <w:spacing w:after="113" w:line="260" w:lineRule="atLeast"/>
      <w:textAlignment w:val="center"/>
    </w:pPr>
    <w:rPr>
      <w:rFonts w:ascii="Roboto Light" w:eastAsiaTheme="minorHAnsi" w:hAnsi="Roboto Light" w:cs="Roboto Light"/>
      <w:color w:val="000000"/>
      <w:sz w:val="20"/>
      <w:szCs w:val="20"/>
      <w:lang w:val="en-US"/>
    </w:rPr>
  </w:style>
  <w:style w:type="paragraph" w:customStyle="1" w:styleId="Subhead1214ptmedium">
    <w:name w:val="Subhead 12/14pt medium"/>
    <w:basedOn w:val="Normal"/>
    <w:uiPriority w:val="99"/>
    <w:rsid w:val="00CC3BA5"/>
    <w:pPr>
      <w:suppressAutoHyphens/>
      <w:autoSpaceDE w:val="0"/>
      <w:autoSpaceDN w:val="0"/>
      <w:adjustRightInd w:val="0"/>
      <w:spacing w:before="113" w:after="170" w:line="280" w:lineRule="atLeast"/>
      <w:textAlignment w:val="center"/>
    </w:pPr>
    <w:rPr>
      <w:rFonts w:ascii="Roboto Medium" w:eastAsiaTheme="minorHAnsi" w:hAnsi="Roboto Medium" w:cs="Roboto Medium"/>
      <w:color w:val="1F96A0"/>
      <w:lang w:val="en-US"/>
    </w:rPr>
  </w:style>
  <w:style w:type="paragraph" w:customStyle="1" w:styleId="Subhead1214ptLight3Col">
    <w:name w:val="Subhead 12/14pt Light 3 Col"/>
    <w:basedOn w:val="Normal"/>
    <w:uiPriority w:val="99"/>
    <w:rsid w:val="00CC3BA5"/>
    <w:pPr>
      <w:suppressAutoHyphens/>
      <w:autoSpaceDE w:val="0"/>
      <w:autoSpaceDN w:val="0"/>
      <w:adjustRightInd w:val="0"/>
      <w:spacing w:before="113" w:after="170" w:line="280" w:lineRule="atLeast"/>
      <w:textAlignment w:val="center"/>
    </w:pPr>
    <w:rPr>
      <w:rFonts w:ascii="Roboto Light" w:eastAsiaTheme="minorHAnsi" w:hAnsi="Roboto Light" w:cs="Roboto Light"/>
      <w:color w:val="1F96A0"/>
      <w:lang w:val="en-US"/>
    </w:rPr>
  </w:style>
  <w:style w:type="paragraph" w:customStyle="1" w:styleId="Body10142ColBullets">
    <w:name w:val="Body 10/14 2 Col Bullets"/>
    <w:basedOn w:val="Body10142Col"/>
    <w:uiPriority w:val="99"/>
    <w:rsid w:val="00B57F88"/>
    <w:pPr>
      <w:spacing w:after="0"/>
      <w:ind w:left="360" w:hanging="360"/>
    </w:pPr>
  </w:style>
  <w:style w:type="paragraph" w:customStyle="1" w:styleId="TableBodyCopy">
    <w:name w:val="Table Body Copy"/>
    <w:basedOn w:val="Normal"/>
    <w:uiPriority w:val="99"/>
    <w:rsid w:val="00FF7819"/>
    <w:pPr>
      <w:autoSpaceDE w:val="0"/>
      <w:autoSpaceDN w:val="0"/>
      <w:adjustRightInd w:val="0"/>
      <w:spacing w:line="140" w:lineRule="atLeast"/>
      <w:textAlignment w:val="center"/>
    </w:pPr>
    <w:rPr>
      <w:rFonts w:ascii="Roboto Light" w:eastAsiaTheme="minorHAnsi" w:hAnsi="Roboto Light" w:cs="Roboto Light"/>
      <w:color w:val="000000"/>
      <w:sz w:val="16"/>
      <w:szCs w:val="16"/>
      <w:lang w:val="en-US"/>
    </w:rPr>
  </w:style>
  <w:style w:type="paragraph" w:customStyle="1" w:styleId="TableHEADINGWHITE">
    <w:name w:val="Table HEADING WHITE"/>
    <w:basedOn w:val="TableBodyCopy"/>
    <w:uiPriority w:val="99"/>
    <w:rsid w:val="00FF7819"/>
    <w:rPr>
      <w:rFonts w:ascii="Roboto" w:hAnsi="Roboto" w:cs="Roboto"/>
      <w:b/>
      <w:bCs/>
      <w:color w:val="FFFFFF"/>
    </w:rPr>
  </w:style>
  <w:style w:type="paragraph" w:customStyle="1" w:styleId="TableBodyCentre">
    <w:name w:val="Table Body Centre"/>
    <w:basedOn w:val="TableBodyCopy"/>
    <w:uiPriority w:val="99"/>
    <w:rsid w:val="00FF7819"/>
    <w:pPr>
      <w:jc w:val="center"/>
    </w:pPr>
  </w:style>
  <w:style w:type="paragraph" w:customStyle="1" w:styleId="Header3234ptCapsLight">
    <w:name w:val="Header 32/34pt Caps Light"/>
    <w:basedOn w:val="Normal"/>
    <w:uiPriority w:val="99"/>
    <w:rsid w:val="00B36D25"/>
    <w:pPr>
      <w:suppressAutoHyphens/>
      <w:autoSpaceDE w:val="0"/>
      <w:autoSpaceDN w:val="0"/>
      <w:adjustRightInd w:val="0"/>
      <w:spacing w:after="170" w:line="680" w:lineRule="atLeast"/>
      <w:textAlignment w:val="center"/>
    </w:pPr>
    <w:rPr>
      <w:rFonts w:ascii="Roboto Light" w:eastAsiaTheme="minorHAnsi" w:hAnsi="Roboto Light" w:cs="Roboto Light"/>
      <w:b/>
      <w:bCs/>
      <w:caps/>
      <w:color w:val="2DC19E"/>
      <w:sz w:val="64"/>
      <w:szCs w:val="64"/>
      <w:lang w:val="en-GB"/>
    </w:rPr>
  </w:style>
  <w:style w:type="paragraph" w:customStyle="1" w:styleId="SUBTITLE5General">
    <w:name w:val="SUBTITLE 5 (General)"/>
    <w:basedOn w:val="Body1013pt"/>
    <w:uiPriority w:val="99"/>
    <w:rsid w:val="00B21EE7"/>
    <w:pPr>
      <w:tabs>
        <w:tab w:val="decimal" w:pos="7280"/>
        <w:tab w:val="right" w:pos="9600"/>
      </w:tabs>
      <w:spacing w:before="227" w:after="57" w:line="288" w:lineRule="auto"/>
    </w:pPr>
    <w:rPr>
      <w:rFonts w:ascii="Roboto" w:hAnsi="Roboto" w:cs="Roboto"/>
      <w:b/>
      <w:bCs/>
      <w:caps/>
      <w:color w:val="1695A3"/>
      <w:sz w:val="26"/>
      <w:szCs w:val="26"/>
      <w:lang w:val="en-GB"/>
    </w:rPr>
  </w:style>
  <w:style w:type="character" w:customStyle="1" w:styleId="Heading2Char">
    <w:name w:val="Heading 2 Char"/>
    <w:basedOn w:val="DefaultParagraphFont"/>
    <w:link w:val="Heading2"/>
    <w:uiPriority w:val="9"/>
    <w:rsid w:val="001C0EE6"/>
    <w:rPr>
      <w:rFonts w:ascii="Roboto" w:eastAsia="Roboto" w:hAnsi="Roboto" w:cstheme="majorBidi"/>
      <w:b/>
      <w:color w:val="000000" w:themeColor="text1"/>
      <w:sz w:val="28"/>
      <w:szCs w:val="26"/>
    </w:rPr>
  </w:style>
  <w:style w:type="character" w:customStyle="1" w:styleId="Heading3Char">
    <w:name w:val="Heading 3 Char"/>
    <w:basedOn w:val="DefaultParagraphFont"/>
    <w:link w:val="Heading3"/>
    <w:uiPriority w:val="9"/>
    <w:rsid w:val="00D60B42"/>
    <w:rPr>
      <w:rFonts w:ascii="Roboto" w:eastAsiaTheme="majorEastAsia" w:hAnsi="Roboto" w:cstheme="majorBidi"/>
      <w:b/>
      <w:color w:val="000000" w:themeColor="text1"/>
      <w:sz w:val="24"/>
      <w:szCs w:val="24"/>
    </w:rPr>
  </w:style>
  <w:style w:type="character" w:styleId="PageNumber">
    <w:name w:val="page number"/>
    <w:basedOn w:val="DefaultParagraphFont"/>
    <w:uiPriority w:val="99"/>
    <w:semiHidden/>
    <w:unhideWhenUsed/>
    <w:rsid w:val="006A2A0D"/>
  </w:style>
  <w:style w:type="paragraph" w:customStyle="1" w:styleId="Body">
    <w:name w:val="Body"/>
    <w:basedOn w:val="BasicParagraph"/>
    <w:uiPriority w:val="99"/>
    <w:rsid w:val="005F35B0"/>
    <w:pPr>
      <w:spacing w:after="227" w:line="300" w:lineRule="atLeast"/>
    </w:pPr>
    <w:rPr>
      <w:rFonts w:ascii="Titillium" w:hAnsi="Titillium" w:cs="Titillium"/>
      <w:color w:val="4D4D4F"/>
      <w:spacing w:val="0"/>
      <w:sz w:val="18"/>
      <w:szCs w:val="18"/>
    </w:rPr>
  </w:style>
  <w:style w:type="paragraph" w:customStyle="1" w:styleId="meetourteam1">
    <w:name w:val="meet our team 1"/>
    <w:basedOn w:val="Normal"/>
    <w:uiPriority w:val="99"/>
    <w:rsid w:val="001C0EE6"/>
    <w:pPr>
      <w:autoSpaceDE w:val="0"/>
      <w:autoSpaceDN w:val="0"/>
      <w:adjustRightInd w:val="0"/>
      <w:spacing w:before="0" w:beforeAutospacing="0" w:after="0" w:afterAutospacing="0" w:line="300" w:lineRule="atLeast"/>
      <w:textAlignment w:val="center"/>
    </w:pPr>
    <w:rPr>
      <w:rFonts w:ascii="Titillium Bd" w:eastAsiaTheme="minorHAnsi" w:hAnsi="Titillium Bd" w:cs="Titillium Bd"/>
      <w:b/>
      <w:bCs/>
      <w:caps/>
      <w:color w:val="2ED9C3"/>
      <w:spacing w:val="14"/>
      <w:sz w:val="28"/>
      <w:szCs w:val="28"/>
      <w:u w:val="thick" w:color="FFFFFF"/>
      <w:lang w:val="en-US"/>
    </w:rPr>
  </w:style>
  <w:style w:type="paragraph" w:customStyle="1" w:styleId="SubTitle">
    <w:name w:val="Sub Title"/>
    <w:basedOn w:val="BasicParagraph"/>
    <w:uiPriority w:val="99"/>
    <w:rsid w:val="001C0EE6"/>
    <w:pPr>
      <w:tabs>
        <w:tab w:val="left" w:pos="567"/>
      </w:tabs>
      <w:spacing w:before="0" w:beforeAutospacing="0" w:after="0" w:afterAutospacing="0" w:line="800" w:lineRule="atLeast"/>
      <w:ind w:left="567" w:hanging="567"/>
    </w:pPr>
    <w:rPr>
      <w:rFonts w:ascii="Titillium Bd" w:hAnsi="Titillium Bd" w:cs="Titillium Bd"/>
      <w:b/>
      <w:bCs/>
      <w:color w:val="1695A3"/>
      <w:spacing w:val="0"/>
      <w:sz w:val="80"/>
      <w:szCs w:val="80"/>
    </w:rPr>
  </w:style>
  <w:style w:type="paragraph" w:customStyle="1" w:styleId="Column1">
    <w:name w:val="Column 1"/>
    <w:basedOn w:val="Normal"/>
    <w:uiPriority w:val="99"/>
    <w:rsid w:val="00DC368A"/>
    <w:pPr>
      <w:suppressAutoHyphens/>
      <w:autoSpaceDE w:val="0"/>
      <w:autoSpaceDN w:val="0"/>
      <w:adjustRightInd w:val="0"/>
      <w:spacing w:before="0" w:beforeAutospacing="0" w:after="227" w:afterAutospacing="0" w:line="300" w:lineRule="atLeast"/>
      <w:textAlignment w:val="center"/>
    </w:pPr>
    <w:rPr>
      <w:rFonts w:ascii="Titillium" w:eastAsiaTheme="minorHAnsi" w:hAnsi="Titillium" w:cs="Titillium"/>
      <w:color w:val="4D4D4F"/>
      <w:spacing w:val="5"/>
      <w:sz w:val="18"/>
      <w:szCs w:val="18"/>
      <w:lang w:val="en-US"/>
    </w:rPr>
  </w:style>
  <w:style w:type="paragraph" w:customStyle="1" w:styleId="meetourteam2">
    <w:name w:val="meet our team 2"/>
    <w:basedOn w:val="meetourteam1"/>
    <w:uiPriority w:val="99"/>
    <w:rsid w:val="00973474"/>
    <w:pPr>
      <w:spacing w:after="227"/>
    </w:pPr>
    <w:rPr>
      <w:rFonts w:ascii="Titillium Lt" w:hAnsi="Titillium Lt" w:cs="Titillium Lt"/>
      <w:b w:val="0"/>
      <w:bCs w:val="0"/>
      <w:i/>
      <w:iCs/>
      <w:caps w:val="0"/>
      <w:color w:val="BCBBB3"/>
      <w:spacing w:val="9"/>
      <w:sz w:val="18"/>
      <w:szCs w:val="18"/>
    </w:rPr>
  </w:style>
  <w:style w:type="character" w:styleId="Hyperlink">
    <w:name w:val="Hyperlink"/>
    <w:basedOn w:val="DefaultParagraphFont"/>
    <w:uiPriority w:val="99"/>
    <w:unhideWhenUsed/>
    <w:rsid w:val="008469CF"/>
    <w:rPr>
      <w:color w:val="0000FF"/>
      <w:u w:val="single"/>
    </w:rPr>
  </w:style>
  <w:style w:type="paragraph" w:customStyle="1" w:styleId="COLUMN2">
    <w:name w:val="COLUMN 2"/>
    <w:basedOn w:val="BasicParagraph"/>
    <w:uiPriority w:val="99"/>
    <w:rsid w:val="009E40B8"/>
    <w:pPr>
      <w:spacing w:before="0" w:beforeAutospacing="0" w:after="113" w:afterAutospacing="0" w:line="300" w:lineRule="atLeast"/>
    </w:pPr>
    <w:rPr>
      <w:rFonts w:ascii="Titillium" w:hAnsi="Titillium" w:cs="Titillium"/>
      <w:color w:val="4D4D4F"/>
      <w:spacing w:val="0"/>
      <w:sz w:val="18"/>
      <w:szCs w:val="18"/>
    </w:rPr>
  </w:style>
  <w:style w:type="paragraph" w:customStyle="1" w:styleId="Column1TBlack">
    <w:name w:val="Column 1 T Black"/>
    <w:basedOn w:val="Column1"/>
    <w:uiPriority w:val="99"/>
    <w:rsid w:val="00514558"/>
    <w:rPr>
      <w:rFonts w:ascii="Titillium Bd" w:hAnsi="Titillium Bd" w:cs="Titillium Bd"/>
      <w:b/>
      <w:bCs/>
      <w:spacing w:val="7"/>
      <w:sz w:val="24"/>
      <w:szCs w:val="24"/>
    </w:rPr>
  </w:style>
  <w:style w:type="character" w:customStyle="1" w:styleId="white">
    <w:name w:val="white"/>
    <w:uiPriority w:val="99"/>
    <w:rsid w:val="00794869"/>
    <w:rPr>
      <w:color w:val="BCBBB3"/>
    </w:rPr>
  </w:style>
  <w:style w:type="table" w:styleId="TableGrid">
    <w:name w:val="Table Grid"/>
    <w:basedOn w:val="TableNormal"/>
    <w:uiPriority w:val="39"/>
    <w:rsid w:val="00BE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95EA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F95EA8"/>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F95EA8"/>
    <w:rPr>
      <w:rFonts w:ascii="Times New Roman" w:eastAsia="Times New Roman" w:hAnsi="Times New Roman"/>
      <w:lang w:eastAsia="en-GB"/>
    </w:rPr>
  </w:style>
  <w:style w:type="character" w:styleId="Emphasis">
    <w:name w:val="Emphasis"/>
    <w:basedOn w:val="DefaultParagraphFont"/>
    <w:uiPriority w:val="20"/>
    <w:qFormat/>
    <w:rsid w:val="00F95EA8"/>
    <w:rPr>
      <w:i/>
      <w:iCs/>
    </w:rPr>
  </w:style>
  <w:style w:type="character" w:styleId="Strong">
    <w:name w:val="Strong"/>
    <w:basedOn w:val="DefaultParagraphFont"/>
    <w:uiPriority w:val="22"/>
    <w:qFormat/>
    <w:rsid w:val="00F95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3092">
      <w:bodyDiv w:val="1"/>
      <w:marLeft w:val="0"/>
      <w:marRight w:val="0"/>
      <w:marTop w:val="0"/>
      <w:marBottom w:val="0"/>
      <w:divBdr>
        <w:top w:val="none" w:sz="0" w:space="0" w:color="auto"/>
        <w:left w:val="none" w:sz="0" w:space="0" w:color="auto"/>
        <w:bottom w:val="none" w:sz="0" w:space="0" w:color="auto"/>
        <w:right w:val="none" w:sz="0" w:space="0" w:color="auto"/>
      </w:divBdr>
    </w:div>
    <w:div w:id="599535114">
      <w:bodyDiv w:val="1"/>
      <w:marLeft w:val="0"/>
      <w:marRight w:val="0"/>
      <w:marTop w:val="0"/>
      <w:marBottom w:val="0"/>
      <w:divBdr>
        <w:top w:val="none" w:sz="0" w:space="0" w:color="auto"/>
        <w:left w:val="none" w:sz="0" w:space="0" w:color="auto"/>
        <w:bottom w:val="none" w:sz="0" w:space="0" w:color="auto"/>
        <w:right w:val="none" w:sz="0" w:space="0" w:color="auto"/>
      </w:divBdr>
      <w:divsChild>
        <w:div w:id="1790203380">
          <w:marLeft w:val="0"/>
          <w:marRight w:val="0"/>
          <w:marTop w:val="0"/>
          <w:marBottom w:val="0"/>
          <w:divBdr>
            <w:top w:val="none" w:sz="0" w:space="0" w:color="auto"/>
            <w:left w:val="none" w:sz="0" w:space="0" w:color="auto"/>
            <w:bottom w:val="none" w:sz="0" w:space="0" w:color="auto"/>
            <w:right w:val="none" w:sz="0" w:space="0" w:color="auto"/>
          </w:divBdr>
          <w:divsChild>
            <w:div w:id="1894191465">
              <w:marLeft w:val="0"/>
              <w:marRight w:val="0"/>
              <w:marTop w:val="600"/>
              <w:marBottom w:val="0"/>
              <w:divBdr>
                <w:top w:val="none" w:sz="0" w:space="0" w:color="auto"/>
                <w:left w:val="none" w:sz="0" w:space="0" w:color="auto"/>
                <w:bottom w:val="none" w:sz="0" w:space="0" w:color="auto"/>
                <w:right w:val="none" w:sz="0" w:space="0" w:color="auto"/>
              </w:divBdr>
              <w:divsChild>
                <w:div w:id="15910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8797">
      <w:bodyDiv w:val="1"/>
      <w:marLeft w:val="0"/>
      <w:marRight w:val="0"/>
      <w:marTop w:val="0"/>
      <w:marBottom w:val="0"/>
      <w:divBdr>
        <w:top w:val="none" w:sz="0" w:space="0" w:color="auto"/>
        <w:left w:val="none" w:sz="0" w:space="0" w:color="auto"/>
        <w:bottom w:val="none" w:sz="0" w:space="0" w:color="auto"/>
        <w:right w:val="none" w:sz="0" w:space="0" w:color="auto"/>
      </w:divBdr>
    </w:div>
    <w:div w:id="1181119163">
      <w:bodyDiv w:val="1"/>
      <w:marLeft w:val="0"/>
      <w:marRight w:val="0"/>
      <w:marTop w:val="0"/>
      <w:marBottom w:val="0"/>
      <w:divBdr>
        <w:top w:val="none" w:sz="0" w:space="0" w:color="auto"/>
        <w:left w:val="none" w:sz="0" w:space="0" w:color="auto"/>
        <w:bottom w:val="none" w:sz="0" w:space="0" w:color="auto"/>
        <w:right w:val="none" w:sz="0" w:space="0" w:color="auto"/>
      </w:divBdr>
    </w:div>
    <w:div w:id="1332248160">
      <w:bodyDiv w:val="1"/>
      <w:marLeft w:val="0"/>
      <w:marRight w:val="0"/>
      <w:marTop w:val="0"/>
      <w:marBottom w:val="0"/>
      <w:divBdr>
        <w:top w:val="none" w:sz="0" w:space="0" w:color="auto"/>
        <w:left w:val="none" w:sz="0" w:space="0" w:color="auto"/>
        <w:bottom w:val="none" w:sz="0" w:space="0" w:color="auto"/>
        <w:right w:val="none" w:sz="0" w:space="0" w:color="auto"/>
      </w:divBdr>
    </w:div>
    <w:div w:id="14755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ovic.com.au/about-us/publications" TargetMode="External"/><Relationship Id="rId13" Type="http://schemas.openxmlformats.org/officeDocument/2006/relationships/hyperlink" Target="https://www.tisnational.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tovic.com.au/about-us/charter" TargetMode="Externa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facebook.com/PublicTransportOmbudsman/" TargetMode="External"/><Relationship Id="rId2" Type="http://schemas.openxmlformats.org/officeDocument/2006/relationships/styles" Target="styles.xml"/><Relationship Id="rId16" Type="http://schemas.openxmlformats.org/officeDocument/2006/relationships/hyperlink" Target="mailto:enquiries@ptovic.com.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86232100" TargetMode="External"/><Relationship Id="rId5" Type="http://schemas.openxmlformats.org/officeDocument/2006/relationships/footnotes" Target="footnotes.xml"/><Relationship Id="rId15" Type="http://schemas.openxmlformats.org/officeDocument/2006/relationships/hyperlink" Target="https://www.ptovic.com.au/complaints/complaint-form" TargetMode="External"/><Relationship Id="rId10" Type="http://schemas.openxmlformats.org/officeDocument/2006/relationships/hyperlink" Target="tel:038623211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tel:1800466865" TargetMode="External"/><Relationship Id="rId14" Type="http://schemas.openxmlformats.org/officeDocument/2006/relationships/hyperlink" Target="tel:13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26</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Shannon</dc:creator>
  <cp:keywords/>
  <dc:description/>
  <cp:lastModifiedBy>Ruben Shannon</cp:lastModifiedBy>
  <cp:revision>42</cp:revision>
  <dcterms:created xsi:type="dcterms:W3CDTF">2019-10-17T00:24:00Z</dcterms:created>
  <dcterms:modified xsi:type="dcterms:W3CDTF">2019-10-21T03:51:00Z</dcterms:modified>
</cp:coreProperties>
</file>